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75664ds3asr.htm"/>
        <w:bookmarkStart w:id="1" w:name="ksd175664ds3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September 17,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0"/>
        </w:rPr>
      </w:pPr>
      <w:r>
        <w:rPr>
          <w:rFonts w:ascii="Times New Roman" w:hAnsi="Times New Roman"/>
          <w:b/>
          <w:sz w:val="30"/>
        </w:rPr>
        <w:t xml:space="preserve">UNITED STATES </w:t>
      </w:r>
    </w:p>
    <w:p>
      <w:pPr>
        <w:pStyle w:val="TextBody"/>
        <w:bidi w:val="0"/>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30"/>
        </w:rPr>
      </w:pPr>
      <w:r>
        <w:rPr>
          <w:rFonts w:ascii="Times New Roman" w:hAnsi="Times New Roman"/>
          <w:b/>
          <w:sz w:val="30"/>
        </w:rPr>
        <w:t xml:space="preserve">FORM S-3 </w:t>
      </w:r>
    </w:p>
    <w:p>
      <w:pPr>
        <w:pStyle w:val="TextBody"/>
        <w:bidi w:val="0"/>
        <w:spacing w:before="0" w:after="0"/>
        <w:jc w:val="center"/>
        <w:rPr>
          <w:rFonts w:ascii="Times New Roman" w:hAnsi="Times New Roman"/>
          <w:b/>
          <w:sz w:val="30"/>
        </w:rPr>
      </w:pPr>
      <w:r>
        <w:rPr>
          <w:rFonts w:ascii="Times New Roman" w:hAnsi="Times New Roman"/>
          <w:b/>
          <w:sz w:val="30"/>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44"/>
        </w:rPr>
      </w:pPr>
      <w:r>
        <w:rPr>
          <w:rFonts w:ascii="Times New Roman" w:hAnsi="Times New Roman"/>
          <w:b/>
          <w:sz w:val="44"/>
        </w:rPr>
        <w:t xml:space="preserve">FIRST MERCHANTS CORPORATION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Indiana</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35-1544218</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6"/>
        </w:rPr>
      </w:pPr>
      <w:r>
        <w:rPr>
          <w:rFonts w:ascii="Times New Roman" w:hAnsi="Times New Roman"/>
          <w:b/>
          <w:sz w:val="16"/>
        </w:rPr>
        <w:t xml:space="preserve">200 East Jackson Street </w:t>
      </w:r>
    </w:p>
    <w:p>
      <w:pPr>
        <w:pStyle w:val="TextBody"/>
        <w:bidi w:val="0"/>
        <w:spacing w:before="0" w:after="0"/>
        <w:jc w:val="center"/>
        <w:rPr>
          <w:rFonts w:ascii="Times New Roman" w:hAnsi="Times New Roman"/>
          <w:b/>
          <w:sz w:val="16"/>
        </w:rPr>
      </w:pPr>
      <w:r>
        <w:rPr>
          <w:rFonts w:ascii="Times New Roman" w:hAnsi="Times New Roman"/>
          <w:b/>
          <w:sz w:val="16"/>
        </w:rPr>
        <w:t xml:space="preserve">Muncie, Indiana 47305 </w:t>
      </w:r>
    </w:p>
    <w:p>
      <w:pPr>
        <w:pStyle w:val="TextBody"/>
        <w:bidi w:val="0"/>
        <w:spacing w:before="0" w:after="0"/>
        <w:jc w:val="center"/>
        <w:rPr>
          <w:rFonts w:ascii="Times New Roman" w:hAnsi="Times New Roman"/>
          <w:b/>
          <w:sz w:val="16"/>
        </w:rPr>
      </w:pPr>
      <w:r>
        <w:rPr>
          <w:rFonts w:ascii="Times New Roman" w:hAnsi="Times New Roman"/>
          <w:b/>
          <w:sz w:val="16"/>
        </w:rPr>
        <w:t xml:space="preserve">(765) 747-1500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6"/>
        </w:rPr>
      </w:pPr>
      <w:r>
        <w:rPr>
          <w:rFonts w:ascii="Times New Roman" w:hAnsi="Times New Roman"/>
          <w:b/>
          <w:sz w:val="16"/>
        </w:rPr>
        <w:t xml:space="preserve">Mark K. Hardwick </w:t>
      </w:r>
    </w:p>
    <w:p>
      <w:pPr>
        <w:pStyle w:val="TextBody"/>
        <w:bidi w:val="0"/>
        <w:spacing w:before="0" w:after="0"/>
        <w:jc w:val="center"/>
        <w:rPr>
          <w:rFonts w:ascii="Times New Roman" w:hAnsi="Times New Roman"/>
          <w:b/>
          <w:sz w:val="16"/>
        </w:rPr>
      </w:pPr>
      <w:r>
        <w:rPr>
          <w:rFonts w:ascii="Times New Roman" w:hAnsi="Times New Roman"/>
          <w:b/>
          <w:sz w:val="16"/>
        </w:rPr>
        <w:t xml:space="preserve">Chief Executive Officer </w:t>
      </w:r>
    </w:p>
    <w:p>
      <w:pPr>
        <w:pStyle w:val="TextBody"/>
        <w:bidi w:val="0"/>
        <w:spacing w:before="0" w:after="0"/>
        <w:jc w:val="center"/>
        <w:rPr>
          <w:rFonts w:ascii="Times New Roman" w:hAnsi="Times New Roman"/>
          <w:b/>
          <w:sz w:val="16"/>
        </w:rPr>
      </w:pPr>
      <w:r>
        <w:rPr>
          <w:rFonts w:ascii="Times New Roman" w:hAnsi="Times New Roman"/>
          <w:b/>
          <w:sz w:val="16"/>
        </w:rPr>
        <w:t xml:space="preserve">First Merchants Corporation </w:t>
      </w:r>
    </w:p>
    <w:p>
      <w:pPr>
        <w:pStyle w:val="TextBody"/>
        <w:bidi w:val="0"/>
        <w:spacing w:before="0" w:after="0"/>
        <w:jc w:val="center"/>
        <w:rPr>
          <w:rFonts w:ascii="Times New Roman" w:hAnsi="Times New Roman"/>
          <w:b/>
          <w:sz w:val="16"/>
        </w:rPr>
      </w:pPr>
      <w:r>
        <w:rPr>
          <w:rFonts w:ascii="Times New Roman" w:hAnsi="Times New Roman"/>
          <w:b/>
          <w:sz w:val="16"/>
        </w:rPr>
        <w:t xml:space="preserve">200 East Jackson Street </w:t>
      </w:r>
    </w:p>
    <w:p>
      <w:pPr>
        <w:pStyle w:val="TextBody"/>
        <w:bidi w:val="0"/>
        <w:spacing w:before="0" w:after="0"/>
        <w:jc w:val="center"/>
        <w:rPr>
          <w:rFonts w:ascii="Times New Roman" w:hAnsi="Times New Roman"/>
          <w:b/>
          <w:sz w:val="16"/>
        </w:rPr>
      </w:pPr>
      <w:r>
        <w:rPr>
          <w:rFonts w:ascii="Times New Roman" w:hAnsi="Times New Roman"/>
          <w:b/>
          <w:sz w:val="16"/>
        </w:rPr>
        <w:t xml:space="preserve">Muncie, Indiana 47305 </w:t>
      </w:r>
    </w:p>
    <w:p>
      <w:pPr>
        <w:pStyle w:val="TextBody"/>
        <w:bidi w:val="0"/>
        <w:spacing w:before="0" w:after="0"/>
        <w:jc w:val="center"/>
        <w:rPr>
          <w:rFonts w:ascii="Times New Roman" w:hAnsi="Times New Roman"/>
          <w:b/>
          <w:sz w:val="16"/>
        </w:rPr>
      </w:pPr>
      <w:r>
        <w:rPr>
          <w:rFonts w:ascii="Times New Roman" w:hAnsi="Times New Roman"/>
          <w:b/>
          <w:sz w:val="16"/>
        </w:rPr>
        <w:t xml:space="preserve">(765) 747-1500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i/>
          <w:sz w:val="16"/>
        </w:rPr>
      </w:pPr>
      <w:r>
        <w:rPr>
          <w:rFonts w:ascii="Times New Roman" w:hAnsi="Times New Roman"/>
          <w:b/>
          <w:i/>
          <w:sz w:val="16"/>
        </w:rPr>
        <w:t xml:space="preserve">With 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5"/>
        <w:gridCol w:w="101"/>
        <w:gridCol w:w="4949"/>
      </w:tblGrid>
      <w:tr>
        <w:trPr/>
        <w:tc>
          <w:tcPr>
            <w:tcW w:w="51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5" w:type="dxa"/>
            <w:tcBorders/>
          </w:tcPr>
          <w:p>
            <w:pPr>
              <w:pStyle w:val="TableContents"/>
              <w:bidi w:val="0"/>
              <w:spacing w:before="0" w:after="0"/>
              <w:jc w:val="center"/>
              <w:rPr>
                <w:rFonts w:ascii="Times New Roman" w:hAnsi="Times New Roman"/>
                <w:b/>
                <w:sz w:val="16"/>
              </w:rPr>
            </w:pPr>
            <w:r>
              <w:rPr>
                <w:rFonts w:ascii="Times New Roman" w:hAnsi="Times New Roman"/>
                <w:b/>
                <w:sz w:val="16"/>
              </w:rPr>
              <w:t>Jeremy E. Hill, Esq.</w:t>
            </w:r>
          </w:p>
          <w:p>
            <w:pPr>
              <w:pStyle w:val="TableContents"/>
              <w:bidi w:val="0"/>
              <w:spacing w:before="0" w:after="0"/>
              <w:jc w:val="center"/>
              <w:rPr>
                <w:rFonts w:ascii="Times New Roman" w:hAnsi="Times New Roman"/>
                <w:b/>
                <w:sz w:val="16"/>
              </w:rPr>
            </w:pPr>
            <w:r>
              <w:rPr>
                <w:rFonts w:ascii="Times New Roman" w:hAnsi="Times New Roman"/>
                <w:b/>
                <w:sz w:val="16"/>
              </w:rPr>
              <w:t>Dentons Bingham Greenebaum LLP</w:t>
            </w:r>
          </w:p>
          <w:p>
            <w:pPr>
              <w:pStyle w:val="TableContents"/>
              <w:bidi w:val="0"/>
              <w:spacing w:before="0" w:after="0"/>
              <w:jc w:val="center"/>
              <w:rPr>
                <w:rFonts w:ascii="Times New Roman" w:hAnsi="Times New Roman"/>
                <w:b/>
                <w:sz w:val="16"/>
              </w:rPr>
            </w:pPr>
            <w:r>
              <w:rPr>
                <w:rFonts w:ascii="Times New Roman" w:hAnsi="Times New Roman"/>
                <w:b/>
                <w:sz w:val="16"/>
              </w:rPr>
              <w:t>2700 Market Tower</w:t>
            </w:r>
          </w:p>
          <w:p>
            <w:pPr>
              <w:pStyle w:val="TableContents"/>
              <w:bidi w:val="0"/>
              <w:spacing w:before="0" w:after="0"/>
              <w:jc w:val="center"/>
              <w:rPr>
                <w:rFonts w:ascii="Times New Roman" w:hAnsi="Times New Roman"/>
                <w:b/>
                <w:sz w:val="16"/>
              </w:rPr>
            </w:pPr>
            <w:r>
              <w:rPr>
                <w:rFonts w:ascii="Times New Roman" w:hAnsi="Times New Roman"/>
                <w:b/>
                <w:sz w:val="16"/>
              </w:rPr>
              <w:t>10 W. Market Street</w:t>
            </w:r>
          </w:p>
          <w:p>
            <w:pPr>
              <w:pStyle w:val="TableContents"/>
              <w:bidi w:val="0"/>
              <w:spacing w:before="0" w:after="0"/>
              <w:jc w:val="center"/>
              <w:rPr>
                <w:rFonts w:ascii="Times New Roman" w:hAnsi="Times New Roman"/>
                <w:b/>
                <w:sz w:val="16"/>
              </w:rPr>
            </w:pPr>
            <w:r>
              <w:rPr>
                <w:rFonts w:ascii="Times New Roman" w:hAnsi="Times New Roman"/>
                <w:b/>
                <w:sz w:val="16"/>
              </w:rPr>
              <w:t>Indianapolis, Indiana 46204</w:t>
            </w:r>
          </w:p>
          <w:p>
            <w:pPr>
              <w:pStyle w:val="TableContents"/>
              <w:bidi w:val="0"/>
              <w:spacing w:before="0" w:after="20"/>
              <w:jc w:val="center"/>
              <w:rPr>
                <w:rFonts w:ascii="Times New Roman" w:hAnsi="Times New Roman"/>
                <w:b/>
                <w:sz w:val="16"/>
              </w:rPr>
            </w:pPr>
            <w:r>
              <w:rPr>
                <w:rFonts w:ascii="Times New Roman" w:hAnsi="Times New Roman"/>
                <w:b/>
                <w:sz w:val="16"/>
              </w:rPr>
              <w:t>(317) 635-8900</w:t>
            </w:r>
          </w:p>
        </w:tc>
        <w:tc>
          <w:tcPr>
            <w:tcW w:w="101"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Brian T. Hunt, Esq.</w:t>
            </w:r>
          </w:p>
          <w:p>
            <w:pPr>
              <w:pStyle w:val="TableContents"/>
              <w:bidi w:val="0"/>
              <w:spacing w:before="0" w:after="0"/>
              <w:jc w:val="center"/>
              <w:rPr>
                <w:rFonts w:ascii="Times New Roman" w:hAnsi="Times New Roman"/>
                <w:b/>
                <w:sz w:val="16"/>
              </w:rPr>
            </w:pPr>
            <w:r>
              <w:rPr>
                <w:rFonts w:ascii="Times New Roman" w:hAnsi="Times New Roman"/>
                <w:b/>
                <w:sz w:val="16"/>
              </w:rPr>
              <w:t>Senior Vice President – General Counsel</w:t>
            </w:r>
          </w:p>
          <w:p>
            <w:pPr>
              <w:pStyle w:val="TableContents"/>
              <w:bidi w:val="0"/>
              <w:spacing w:before="0" w:after="0"/>
              <w:jc w:val="center"/>
              <w:rPr>
                <w:rFonts w:ascii="Times New Roman" w:hAnsi="Times New Roman"/>
                <w:b/>
                <w:sz w:val="16"/>
              </w:rPr>
            </w:pPr>
            <w:r>
              <w:rPr>
                <w:rFonts w:ascii="Times New Roman" w:hAnsi="Times New Roman"/>
                <w:b/>
                <w:sz w:val="16"/>
              </w:rPr>
              <w:t>First Merchants Corporation</w:t>
            </w:r>
          </w:p>
          <w:p>
            <w:pPr>
              <w:pStyle w:val="TableContents"/>
              <w:bidi w:val="0"/>
              <w:spacing w:before="0" w:after="0"/>
              <w:jc w:val="center"/>
              <w:rPr>
                <w:rFonts w:ascii="Times New Roman" w:hAnsi="Times New Roman"/>
                <w:b/>
                <w:sz w:val="16"/>
              </w:rPr>
            </w:pPr>
            <w:r>
              <w:rPr>
                <w:rFonts w:ascii="Times New Roman" w:hAnsi="Times New Roman"/>
                <w:b/>
                <w:sz w:val="16"/>
              </w:rPr>
              <w:t>200 East Jackson Street</w:t>
            </w:r>
          </w:p>
          <w:p>
            <w:pPr>
              <w:pStyle w:val="TableContents"/>
              <w:bidi w:val="0"/>
              <w:spacing w:before="0" w:after="0"/>
              <w:jc w:val="center"/>
              <w:rPr>
                <w:rFonts w:ascii="Times New Roman" w:hAnsi="Times New Roman"/>
                <w:b/>
                <w:sz w:val="16"/>
              </w:rPr>
            </w:pPr>
            <w:r>
              <w:rPr>
                <w:rFonts w:ascii="Times New Roman" w:hAnsi="Times New Roman"/>
                <w:b/>
                <w:sz w:val="16"/>
              </w:rPr>
              <w:t>Muncie, Indiana 47305</w:t>
            </w:r>
          </w:p>
          <w:p>
            <w:pPr>
              <w:pStyle w:val="TableContents"/>
              <w:bidi w:val="0"/>
              <w:spacing w:before="0" w:after="20"/>
              <w:jc w:val="center"/>
              <w:rPr>
                <w:rFonts w:ascii="Times New Roman" w:hAnsi="Times New Roman"/>
                <w:b/>
                <w:sz w:val="16"/>
              </w:rPr>
            </w:pPr>
            <w:r>
              <w:rPr>
                <w:rFonts w:ascii="Times New Roman" w:hAnsi="Times New Roman"/>
                <w:b/>
                <w:sz w:val="16"/>
              </w:rPr>
              <w:t>(765) 747-1500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6"/>
        </w:rPr>
      </w:pPr>
      <w:r>
        <w:rPr>
          <w:rFonts w:ascii="Times New Roman" w:hAnsi="Times New Roman"/>
          <w:b/>
          <w:sz w:val="16"/>
        </w:rPr>
        <w:t xml:space="preserve">Approximate date of commencement of proposed sale to the public: </w:t>
      </w:r>
      <w:r>
        <w:rPr>
          <w:rFonts w:ascii="Times New Roman" w:hAnsi="Times New Roman"/>
          <w:sz w:val="16"/>
        </w:rPr>
        <w:t xml:space="preserve">From time to time after the effective date of this registration statement. </w:t>
      </w:r>
    </w:p>
    <w:p>
      <w:pPr>
        <w:pStyle w:val="TextBody"/>
        <w:bidi w:val="0"/>
        <w:spacing w:before="12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19"/>
        <w:gridCol w:w="103"/>
        <w:gridCol w:w="4861"/>
        <w:gridCol w:w="127"/>
        <w:gridCol w:w="2636"/>
        <w:gridCol w:w="103"/>
        <w:gridCol w:w="256"/>
      </w:tblGrid>
      <w:tr>
        <w:trPr/>
        <w:tc>
          <w:tcPr>
            <w:tcW w:w="211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19"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61"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60" w:hRule="atLeast"/>
        </w:trPr>
        <w:tc>
          <w:tcPr>
            <w:tcW w:w="2119" w:type="dxa"/>
            <w:tcBorders/>
            <w:vAlign w:val="center"/>
          </w:tcPr>
          <w:p>
            <w:pPr>
              <w:pStyle w:val="TableContents"/>
              <w:bidi w:val="0"/>
              <w:spacing w:before="0" w:after="283"/>
              <w:jc w:val="left"/>
              <w:rPr>
                <w:sz w:val="4"/>
                <w:szCs w:val="4"/>
              </w:rPr>
            </w:pPr>
            <w:r>
              <w:rPr>
                <w:sz w:val="4"/>
                <w:szCs w:val="4"/>
              </w:rPr>
            </w:r>
          </w:p>
        </w:tc>
        <w:tc>
          <w:tcPr>
            <w:tcW w:w="4964"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19"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61"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60" w:hRule="atLeast"/>
        </w:trPr>
        <w:tc>
          <w:tcPr>
            <w:tcW w:w="2119" w:type="dxa"/>
            <w:tcBorders/>
            <w:vAlign w:val="center"/>
          </w:tcPr>
          <w:p>
            <w:pPr>
              <w:pStyle w:val="TableContents"/>
              <w:bidi w:val="0"/>
              <w:spacing w:before="0" w:after="283"/>
              <w:jc w:val="left"/>
              <w:rPr>
                <w:sz w:val="4"/>
                <w:szCs w:val="4"/>
              </w:rPr>
            </w:pPr>
            <w:r>
              <w:rPr>
                <w:sz w:val="4"/>
                <w:szCs w:val="4"/>
              </w:rPr>
            </w:r>
          </w:p>
        </w:tc>
        <w:tc>
          <w:tcPr>
            <w:tcW w:w="4964"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1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61"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106295" cy="4406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06295" cy="4406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listed above may be offered and sold by us and/or may be offered and sold, from time to time, by one or more selling security holders to be identified in the future, in amounts, at prices, and on other terms to be determined at the time of the offering. We will provide the specific terms and manner of offering of these securities in supplements to this prospectus. The prospectus supplements may also add, update, or change information contained in this prospectus. You should read this prospectus and the related prospectus supplement carefully before you invest in the securities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and trade under the symbol “FRME.” None of the other securities that we may offer are currently traded on any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these securities to or through one or more underwriters, dealers and agents or directly to purchasers on a continued or delayed basis.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sell securities unless accompanied by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200 East Jackson Street, Muncie, Indiana 47305, and our telephone number at that address is (765) 747-1500.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You should read this prospectus and any applicable prospectus supplements carefully before you invest. Investing in our securities involves a high degree of risk. See the section entitled “</w:t>
      </w:r>
      <w:hyperlink w:anchor="tx175664_1">
        <w:r>
          <w:rPr>
            <w:rStyle w:val="InternetLink"/>
            <w:rFonts w:ascii="Times New Roman" w:hAnsi="Times New Roman"/>
            <w:b/>
            <w:sz w:val="24"/>
          </w:rPr>
          <w:t>Risk Factors</w:t>
        </w:r>
      </w:hyperlink>
      <w:r>
        <w:rPr>
          <w:rFonts w:ascii="Times New Roman" w:hAnsi="Times New Roman"/>
          <w:b/>
          <w:sz w:val="24"/>
        </w:rPr>
        <w:t xml:space="preserve">,” on page 1 of this prospectus, in any prospectus supplement and in the documents we file with the Securities and Exchange Commission that are incorporated in this prospectus or any applicable prospectus supplement by reference for certain risks and uncertainties you should consider.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or any applicable prospectus supplement. We have not authorized anyone to provide you with different information. You should not assume that the information in this prospectus or any applicable prospectus supplement is accurate as of any date other than the date on the front of such documents. We are not making an offer to sell these securities in any jurisdiction where the offer or sale is not permitted. </w:t>
      </w:r>
    </w:p>
    <w:p>
      <w:pPr>
        <w:pStyle w:val="TextBody"/>
        <w:bidi w:val="0"/>
        <w:spacing w:before="240" w:after="0"/>
        <w:jc w:val="left"/>
        <w:rPr>
          <w:rFonts w:ascii="Times New Roman" w:hAnsi="Times New Roman"/>
          <w:b/>
          <w:sz w:val="20"/>
        </w:rPr>
      </w:pPr>
      <w:r>
        <w:rPr>
          <w:rFonts w:ascii="Times New Roman" w:hAnsi="Times New Roman"/>
          <w:b/>
          <w:sz w:val="20"/>
        </w:rPr>
        <w:t xml:space="preserve">These securities will be our equity securities or unsecured obligations, will not be savings accounts, deposits or other obligations of any bank or savings association, and will not be insured by the Federal Deposit Insurance Corporation, the bank insurance fund or any other governmental agency or instrumentality.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bank regulatory agency, nor any state securities commission has approved or disapproved of these securities or determined if this prospectus is accurate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September 17,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175664_1">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75664_2">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75664_3">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75664_4">
              <w:r>
                <w:rPr>
                  <w:rStyle w:val="InternetLink"/>
                  <w:rFonts w:ascii="Times New Roman" w:hAnsi="Times New Roman"/>
                  <w:sz w:val="20"/>
                </w:rPr>
                <w:t>INCORPORATION OF CERTAIN DOCUMENTS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75664_5">
              <w:r>
                <w:rPr>
                  <w:rStyle w:val="InternetLink"/>
                  <w:rFonts w:ascii="Times New Roman" w:hAnsi="Times New Roman"/>
                  <w:sz w:val="20"/>
                </w:rPr>
                <w:t>CAUTIONARY STATEMENT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75664_6">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75664_7">
              <w:r>
                <w:rPr>
                  <w:rStyle w:val="InternetLink"/>
                  <w:rFonts w:ascii="Times New Roman" w:hAnsi="Times New Roman"/>
                  <w:sz w:val="20"/>
                </w:rPr>
                <w:t>SECURITIES WE MAY OFFER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75664_8">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75664_9">
              <w:r>
                <w:rPr>
                  <w:rStyle w:val="InternetLink"/>
                  <w:rFonts w:ascii="Times New Roman" w:hAnsi="Times New Roman"/>
                  <w:sz w:val="20"/>
                </w:rPr>
                <w:t>DESCRIPTION OF DEPOSITARY SHARES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75664_10">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75664_11">
              <w:r>
                <w:rPr>
                  <w:rStyle w:val="InternetLink"/>
                  <w:rFonts w:ascii="Times New Roman" w:hAnsi="Times New Roman"/>
                  <w:sz w:val="20"/>
                </w:rPr>
                <w:t>DESCRIPTION OF PURCHASE CONTRACTS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75664_12">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75664_13">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75664_14">
              <w:r>
                <w:rPr>
                  <w:rStyle w:val="InternetLink"/>
                  <w:rFonts w:ascii="Times New Roman" w:hAnsi="Times New Roman"/>
                  <w:sz w:val="20"/>
                </w:rPr>
                <w:t>SELLING SECURITY 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75664_15">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75664_16">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75664_17">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75664_1"/>
      <w:bookmarkEnd w:id="3"/>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the offered securities involves risk. Prior to making any investment decision with respect to the securities that we may offer, prospective investors should carefully consider the specific factors set forth under the caption “Risk Factors” in the applicable prospectus supplement and in our periodic reports filed with the U.S. Securities and Exchange Commission (the “SEC”) that are incorporated by reference herein and therein, together with all of the other information appearing in this prospectus or in the applicable prospectus supplement or incorporated by reference into this prospectus or in the applicable prospectus supplement in light of their particular investment objectives and financial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75664_2"/>
      <w:bookmarkEnd w:id="4"/>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using a “shelf” registration or continuous offering process. Under this shelf process, we or one or more selling security holders to be identified in the future may from time to time sell any combination of the securities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securities may be offered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preferred stock, which we may issue in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which we may issue in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entitling the holders to purchase common stock 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contracts for the purchase or sale of our common stock, preferred stock, debt securities or depositary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that we or any selling security holder may offer as well as other information you should know before investing in our securities. Each time that we or any selling security holders offer securities, we will file with the SEC a prospectus supplement containing specific information about the terms of the securities being offered. The prospectus supplement may include a discussion of any risk factors or other special considerations that apply to those securities. The prospectus supplement may also add, update, or change the information in this prospectus. If there is any inconsistency between the information in this prospectus and the applicable prospectus supplement, you should rely on the information in that prospectus supplement. You should read both this prospectus and the applicable prospectus supplement together with additional information described under the headings “Where You Can Find More Information” and “Information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containing this prospectus, including exhibits to the registration statement, provides additional information about us and the securities offered under this prospectus. The registration statement can be read at the SEC website or at the SEC facilities mentioned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References to “we,” “us,” “our,” “First Merchants” or the “Corporation” refer to First Merchants Corporation and its directly or indirectly owned subsidiaries, unless the context otherwise requires. The term “you” refers to a prospective investor.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the underwriters and their affiliates and agents have not, authorized any person to provide any information or represent anything about us other than what is contained or incorporated by reference in this prospectus or the applicable prospectus supplement prepared by or on behalf of us or to which we have referred you. We do not, and the underwriters and their affiliates and agents do not, take any responsibility for, and can provide no assurance as to the reliability of, information that others may provide you. The Corporation may only use this prospectus to sell securities if it is accompanied by a prospectus supplement which includes the specific terms of that offering. The Corporation is only offering these securities in jurisdictions where the offer is permitted. You should not assume that the information in this prospectus or the applicable prospectus supplement is accurate as of any date other than the dates on the front of those documents.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sell securities to underwriters who will sell the securities to the public on terms fixed at the time of sale. In addition, the securities may be sold by the Corporation directly or through dealers or agents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designated from time to time. If the Corporation, directly or through agents, solicits offers to purchase the securities, the Corporation reserves the sole right to accept and, together with its agents, to reject, in whole or in part, any of those offers.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will contain the names of the underwriters, dealers, or agents, if any, together with the terms of offering, the compensation of those underwriters, dealers, or agents, and the net proceeds to us. Any underwriters, dealers, or agents participating in the offering may be deemed “underwriters” within the meaning of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One or more of our subsidiaries, including First Merchants Bank, may buy and sell any of the securities after the securities are issued as part of their business as a broker-dealer. Those subsidiaries may use this prospectus and the related prospectus supplement in those transactions. Any sale by a subsidiary will be made at the prevailing market price at the time of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175664_3"/>
      <w:bookmarkEnd w:id="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t>
      </w:r>
      <w:r>
        <w:rPr>
          <w:rFonts w:ascii="Times New Roman" w:hAnsi="Times New Roman"/>
          <w:i/>
          <w:sz w:val="20"/>
        </w:rPr>
        <w:t>https://www.sec.gov</w:t>
      </w:r>
      <w:r>
        <w:rPr>
          <w:rFonts w:ascii="Times New Roman" w:hAnsi="Times New Roman"/>
          <w:sz w:val="20"/>
        </w:rPr>
        <w:t xml:space="preserve"> and on the investor relations page of our website at </w:t>
      </w:r>
      <w:r>
        <w:rPr>
          <w:rFonts w:ascii="Times New Roman" w:hAnsi="Times New Roman"/>
          <w:i/>
          <w:sz w:val="20"/>
        </w:rPr>
        <w:t>https://www.firstmerchants.com</w:t>
      </w:r>
      <w:r>
        <w:rPr>
          <w:rFonts w:ascii="Times New Roman" w:hAnsi="Times New Roman"/>
          <w:sz w:val="20"/>
        </w:rPr>
        <w:t xml:space="preserve">. Except for those SEC filings incorporated by reference in this prospectus, none of the other information on our website is part of this prospectus. </w:t>
      </w:r>
    </w:p>
    <w:p>
      <w:pPr>
        <w:pStyle w:val="TextBody"/>
        <w:bidi w:val="0"/>
        <w:spacing w:before="480" w:after="0"/>
        <w:jc w:val="center"/>
        <w:rPr>
          <w:rFonts w:ascii="Times New Roman" w:hAnsi="Times New Roman"/>
          <w:b/>
          <w:sz w:val="20"/>
        </w:rPr>
      </w:pPr>
      <w:bookmarkStart w:id="6" w:name="tx175664_4"/>
      <w:bookmarkEnd w:id="6"/>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the information that we file with it, which means that we can disclose important information to you by referring you to those publicly available documents. The information that we incorporate by reference is an important part of this prospectus. Some information contained in this prospectus updates the information incorporated by reference, and information that we file in the future with the SEC will automatically modify, supersede or update this prospectus. In other words, in the case of a conflict or inconsistency between information in this prospectus and information incorporated by reference into this prospectus, you should rely on the information contained in the document that was filed later.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the documents listed below and any filings we make with the SEC under Sections 13(a), 13(c), 14, or 15(d) of the Securities Exchange Act of 1934, as amended (the “Securities Exchange Act”) (other than those “furnished” pursuant to Item 2.02 or Item 7.01 in any Current Report on Form 8-K or other information deemed to have been “furnished” rather than filed in accordance with the SEC’s rules) after the initial filing of the registration statement related to this prospectus until the termination of the offering of the securities covered by the applicable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25, 2026 (our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3, 2026 (solely to the extent incorporated by reference in Part III of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 ended March 31, 2026, and June 30, 2026, filed with the SEC on </w:t>
            </w:r>
            <w:hyperlink r:id="rId5">
              <w:r>
                <w:rPr>
                  <w:rStyle w:val="InternetLink"/>
                  <w:rFonts w:ascii="Times New Roman" w:hAnsi="Times New Roman"/>
                  <w:sz w:val="20"/>
                </w:rPr>
                <w:t>May  1, 2026</w:t>
              </w:r>
            </w:hyperlink>
            <w:r>
              <w:rPr>
                <w:rFonts w:ascii="Times New Roman" w:hAnsi="Times New Roman"/>
                <w:sz w:val="20"/>
              </w:rPr>
              <w:t xml:space="preserve"> and </w:t>
            </w:r>
            <w:hyperlink r:id="rId6">
              <w:r>
                <w:rPr>
                  <w:rStyle w:val="InternetLink"/>
                  <w:rFonts w:ascii="Times New Roman" w:hAnsi="Times New Roman"/>
                  <w:sz w:val="20"/>
                </w:rPr>
                <w:t>July 31,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January 12, 2026</w:t>
              </w:r>
            </w:hyperlink>
            <w:r>
              <w:rPr>
                <w:rFonts w:ascii="Times New Roman" w:hAnsi="Times New Roman"/>
                <w:sz w:val="20"/>
              </w:rPr>
              <w:t xml:space="preserve">, </w:t>
            </w:r>
            <w:hyperlink r:id="rId8">
              <w:r>
                <w:rPr>
                  <w:rStyle w:val="InternetLink"/>
                  <w:rFonts w:ascii="Times New Roman" w:hAnsi="Times New Roman"/>
                  <w:sz w:val="20"/>
                </w:rPr>
                <w:t>January  16, 2026</w:t>
              </w:r>
            </w:hyperlink>
            <w:r>
              <w:rPr>
                <w:rFonts w:ascii="Times New Roman" w:hAnsi="Times New Roman"/>
                <w:sz w:val="20"/>
              </w:rPr>
              <w:t xml:space="preserve">, </w:t>
            </w:r>
            <w:hyperlink r:id="rId9">
              <w:r>
                <w:rPr>
                  <w:rStyle w:val="InternetLink"/>
                  <w:rFonts w:ascii="Times New Roman" w:hAnsi="Times New Roman"/>
                  <w:sz w:val="20"/>
                </w:rPr>
                <w:t>February  2, 2026</w:t>
              </w:r>
            </w:hyperlink>
            <w:r>
              <w:rPr>
                <w:rFonts w:ascii="Times New Roman" w:hAnsi="Times New Roman"/>
                <w:sz w:val="20"/>
              </w:rPr>
              <w:t xml:space="preserve">, </w:t>
            </w:r>
            <w:hyperlink r:id="rId10">
              <w:r>
                <w:rPr>
                  <w:rStyle w:val="InternetLink"/>
                  <w:rFonts w:ascii="Times New Roman" w:hAnsi="Times New Roman"/>
                  <w:sz w:val="20"/>
                </w:rPr>
                <w:t>February  6, 2026</w:t>
              </w:r>
            </w:hyperlink>
            <w:r>
              <w:rPr>
                <w:rFonts w:ascii="Times New Roman" w:hAnsi="Times New Roman"/>
                <w:sz w:val="20"/>
              </w:rPr>
              <w:t xml:space="preserve">, </w:t>
            </w:r>
            <w:hyperlink r:id="rId11">
              <w:r>
                <w:rPr>
                  <w:rStyle w:val="InternetLink"/>
                  <w:rFonts w:ascii="Times New Roman" w:hAnsi="Times New Roman"/>
                  <w:sz w:val="20"/>
                </w:rPr>
                <w:t>February  9, 2026</w:t>
              </w:r>
            </w:hyperlink>
            <w:r>
              <w:rPr>
                <w:rFonts w:ascii="Times New Roman" w:hAnsi="Times New Roman"/>
                <w:sz w:val="20"/>
              </w:rPr>
              <w:t xml:space="preserve">, </w:t>
            </w:r>
            <w:hyperlink r:id="rId12">
              <w:r>
                <w:rPr>
                  <w:rStyle w:val="InternetLink"/>
                  <w:rFonts w:ascii="Times New Roman" w:hAnsi="Times New Roman"/>
                  <w:sz w:val="20"/>
                </w:rPr>
                <w:t>February  10, 2026</w:t>
              </w:r>
            </w:hyperlink>
            <w:r>
              <w:rPr>
                <w:rFonts w:ascii="Times New Roman" w:hAnsi="Times New Roman"/>
                <w:sz w:val="20"/>
              </w:rPr>
              <w:t xml:space="preserve">, </w:t>
            </w:r>
            <w:hyperlink r:id="rId13">
              <w:r>
                <w:rPr>
                  <w:rStyle w:val="InternetLink"/>
                  <w:rFonts w:ascii="Times New Roman" w:hAnsi="Times New Roman"/>
                  <w:sz w:val="20"/>
                </w:rPr>
                <w:t>April  16, 2026</w:t>
              </w:r>
            </w:hyperlink>
            <w:r>
              <w:rPr>
                <w:rFonts w:ascii="Times New Roman" w:hAnsi="Times New Roman"/>
                <w:sz w:val="20"/>
              </w:rPr>
              <w:t xml:space="preserve">, </w:t>
            </w:r>
            <w:hyperlink r:id="rId14">
              <w:r>
                <w:rPr>
                  <w:rStyle w:val="InternetLink"/>
                  <w:rFonts w:ascii="Times New Roman" w:hAnsi="Times New Roman"/>
                  <w:sz w:val="20"/>
                </w:rPr>
                <w:t>May  19, 2026</w:t>
              </w:r>
            </w:hyperlink>
            <w:r>
              <w:rPr>
                <w:rFonts w:ascii="Times New Roman" w:hAnsi="Times New Roman"/>
                <w:sz w:val="20"/>
              </w:rPr>
              <w:t xml:space="preserve">, </w:t>
            </w:r>
            <w:hyperlink r:id="rId15">
              <w:r>
                <w:rPr>
                  <w:rStyle w:val="InternetLink"/>
                  <w:rFonts w:ascii="Times New Roman" w:hAnsi="Times New Roman"/>
                  <w:sz w:val="20"/>
                </w:rPr>
                <w:t>May  19, 2026</w:t>
              </w:r>
            </w:hyperlink>
            <w:r>
              <w:rPr>
                <w:rFonts w:ascii="Times New Roman" w:hAnsi="Times New Roman"/>
                <w:sz w:val="20"/>
              </w:rPr>
              <w:t xml:space="preserve">, </w:t>
            </w:r>
            <w:hyperlink r:id="rId16">
              <w:r>
                <w:rPr>
                  <w:rStyle w:val="InternetLink"/>
                  <w:rFonts w:ascii="Times New Roman" w:hAnsi="Times New Roman"/>
                  <w:sz w:val="20"/>
                </w:rPr>
                <w:t>May  20, 2026</w:t>
              </w:r>
            </w:hyperlink>
            <w:r>
              <w:rPr>
                <w:rFonts w:ascii="Times New Roman" w:hAnsi="Times New Roman"/>
                <w:sz w:val="20"/>
              </w:rPr>
              <w:t xml:space="preserve">, </w:t>
            </w:r>
            <w:hyperlink r:id="rId17">
              <w:r>
                <w:rPr>
                  <w:rStyle w:val="InternetLink"/>
                  <w:rFonts w:ascii="Times New Roman" w:hAnsi="Times New Roman"/>
                  <w:sz w:val="20"/>
                </w:rPr>
                <w:t>June  24, 2026</w:t>
              </w:r>
            </w:hyperlink>
            <w:r>
              <w:rPr>
                <w:rFonts w:ascii="Times New Roman" w:hAnsi="Times New Roman"/>
                <w:sz w:val="20"/>
              </w:rPr>
              <w:t xml:space="preserve">, </w:t>
            </w:r>
            <w:hyperlink r:id="rId18">
              <w:r>
                <w:rPr>
                  <w:rStyle w:val="InternetLink"/>
                  <w:rFonts w:ascii="Times New Roman" w:hAnsi="Times New Roman"/>
                  <w:sz w:val="20"/>
                </w:rPr>
                <w:t>July  2, 2026</w:t>
              </w:r>
            </w:hyperlink>
            <w:r>
              <w:rPr>
                <w:rFonts w:ascii="Times New Roman" w:hAnsi="Times New Roman"/>
                <w:sz w:val="20"/>
              </w:rPr>
              <w:t xml:space="preserve">, </w:t>
            </w:r>
            <w:hyperlink r:id="rId19">
              <w:r>
                <w:rPr>
                  <w:rStyle w:val="InternetLink"/>
                  <w:rFonts w:ascii="Times New Roman" w:hAnsi="Times New Roman"/>
                  <w:sz w:val="20"/>
                </w:rPr>
                <w:t>July  13, 2026</w:t>
              </w:r>
            </w:hyperlink>
            <w:r>
              <w:rPr>
                <w:rFonts w:ascii="Times New Roman" w:hAnsi="Times New Roman"/>
                <w:sz w:val="20"/>
              </w:rPr>
              <w:t xml:space="preserve">, and </w:t>
            </w:r>
            <w:hyperlink r:id="rId20">
              <w:r>
                <w:rPr>
                  <w:rStyle w:val="InternetLink"/>
                  <w:rFonts w:ascii="Times New Roman" w:hAnsi="Times New Roman"/>
                  <w:sz w:val="20"/>
                </w:rPr>
                <w:t>August 14, 2026</w:t>
              </w:r>
            </w:hyperlink>
            <w:r>
              <w:rPr>
                <w:rFonts w:ascii="Times New Roman" w:hAnsi="Times New Roman"/>
                <w:sz w:val="20"/>
              </w:rPr>
              <w:t xml:space="preserve">, which are incorporated by reference into this prospectus in their entirety;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First Merchants’ common stock set forth in the registration statement filed by First Merchants pursuant to Section  12 of the Exchange Act, as such description has been updated and superseded by the description of our capital stock contained in </w:t>
            </w:r>
            <w:hyperlink r:id="rId21">
              <w:r>
                <w:rPr>
                  <w:rStyle w:val="InternetLink"/>
                  <w:rFonts w:ascii="Times New Roman" w:hAnsi="Times New Roman"/>
                  <w:sz w:val="20"/>
                </w:rPr>
                <w:t>Exhibit 4.7</w:t>
              </w:r>
            </w:hyperlink>
            <w:r>
              <w:rPr>
                <w:rFonts w:ascii="Times New Roman" w:hAnsi="Times New Roman"/>
                <w:sz w:val="20"/>
              </w:rPr>
              <w:t xml:space="preserve"> to our Annual Report on Form 10-K for the year ended December 31, 2022, filed on March 1, 2023, including any amendments or reports filed with the SEC for the purpose of updating such descriptions.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we are not incorporating any document or information deemed to have been furnished and not filed in accordance with SEC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written or oral request, we will provide, at no cost to the requester, a copy of any or all of the information that has been incorporated by reference in this prospectus but not delivered with this prospectus. You may make a request by writing to or calling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First Merchants Corporation </w:t>
      </w:r>
    </w:p>
    <w:p>
      <w:pPr>
        <w:pStyle w:val="TextBody"/>
        <w:bidi w:val="0"/>
        <w:spacing w:before="0" w:after="0"/>
        <w:jc w:val="center"/>
        <w:rPr>
          <w:rFonts w:ascii="Times New Roman" w:hAnsi="Times New Roman"/>
          <w:sz w:val="20"/>
        </w:rPr>
      </w:pPr>
      <w:r>
        <w:rPr>
          <w:rFonts w:ascii="Times New Roman" w:hAnsi="Times New Roman"/>
          <w:sz w:val="20"/>
        </w:rPr>
        <w:t xml:space="preserve">P.O. Box 792 </w:t>
      </w:r>
    </w:p>
    <w:p>
      <w:pPr>
        <w:pStyle w:val="TextBody"/>
        <w:bidi w:val="0"/>
        <w:spacing w:before="0" w:after="0"/>
        <w:jc w:val="center"/>
        <w:rPr>
          <w:rFonts w:ascii="Times New Roman" w:hAnsi="Times New Roman"/>
          <w:sz w:val="20"/>
        </w:rPr>
      </w:pPr>
      <w:r>
        <w:rPr>
          <w:rFonts w:ascii="Times New Roman" w:hAnsi="Times New Roman"/>
          <w:sz w:val="20"/>
        </w:rPr>
        <w:t xml:space="preserve">Muncie, Indiana 47308-0792 </w:t>
      </w:r>
    </w:p>
    <w:p>
      <w:pPr>
        <w:pStyle w:val="TextBody"/>
        <w:bidi w:val="0"/>
        <w:spacing w:before="0" w:after="0"/>
        <w:jc w:val="center"/>
        <w:rPr>
          <w:rFonts w:ascii="Times New Roman" w:hAnsi="Times New Roman"/>
          <w:sz w:val="20"/>
        </w:rPr>
      </w:pPr>
      <w:r>
        <w:rPr>
          <w:rFonts w:ascii="Times New Roman" w:hAnsi="Times New Roman"/>
          <w:sz w:val="20"/>
        </w:rPr>
        <w:t xml:space="preserve">Attention: Shareholder Relations </w:t>
      </w:r>
    </w:p>
    <w:p>
      <w:pPr>
        <w:pStyle w:val="TextBody"/>
        <w:bidi w:val="0"/>
        <w:spacing w:before="0" w:after="0"/>
        <w:jc w:val="center"/>
        <w:rPr>
          <w:rFonts w:ascii="Times New Roman" w:hAnsi="Times New Roman"/>
          <w:sz w:val="20"/>
        </w:rPr>
      </w:pPr>
      <w:r>
        <w:rPr>
          <w:rFonts w:ascii="Times New Roman" w:hAnsi="Times New Roman"/>
          <w:sz w:val="20"/>
        </w:rPr>
        <w:t xml:space="preserve">Phone Nos.: (765) 741-7278 or </w:t>
      </w:r>
    </w:p>
    <w:p>
      <w:pPr>
        <w:pStyle w:val="TextBody"/>
        <w:bidi w:val="0"/>
        <w:spacing w:before="0" w:after="0"/>
        <w:jc w:val="center"/>
        <w:rPr>
          <w:rFonts w:ascii="Times New Roman" w:hAnsi="Times New Roman"/>
          <w:sz w:val="20"/>
        </w:rPr>
      </w:pPr>
      <w:r>
        <w:rPr>
          <w:rFonts w:ascii="Times New Roman" w:hAnsi="Times New Roman"/>
          <w:sz w:val="20"/>
        </w:rPr>
        <w:t xml:space="preserve">(800) 262-4261, Ext. 27278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75664_5"/>
      <w:bookmarkEnd w:id="7"/>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accompanying prospectus supplement, and the documents incorporated by reference or deemed incorporated by reference into this prospectus or any accompanying prospectus supplement and any other written or oral statements made by us from time to time may contain “forward-looking statements” within the meaning of the Private Securities Litigation Reform Act of 1995, Section 27A of the Securities Act of 1933, and Section 21E of the Exchange Act. Such forward-looking statements may be identified by reference to a future period or periods, or by the use of forward-looking terminology, such as “believe”, “continue”, “pattern”, “estimate”, “project”, “intend”, “anticipate”, “expect” and similar expressions or future or conditional verbs such as “will”, “would”, “should”, “could”, “might”, “can”, “may”, or similar expressions. These forward-looking statements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statements of the Corporation’s goals, intentions, and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statements regarding the Corporation’s business plan and growth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statements regarding the asset quality of the Corporation’s loan and investment portfolios;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the Corporation’s risks and future costs and benefits.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are subject to risks, uncertainties, and other factors, many of which are beyond our control, that may cause the actual results, performance, or achievements of the Corporation to differ materially from any results expressed or implied by such forward-looking statements. Such factors include,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market rates of interest and loan and deposit pricing, which could negatively affect our net interest margin, asset valuations, and expense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in the economy, which might affect our business prospects and could cause credit-related losses and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impacts of epidemics, pandemics, or other infectious disease outbreaks;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impacts related to or resulting from recent bank failures or adverse developments at other banks on general investor sentiment regarding the stability and liquidity of banks;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developments in our loan and investment portfolios;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factors in the banking industry, such as the trend towards consolidation in our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banking legislation or the regulatory requirements of federal and state agencies applicable to bank holding companies and banks like our affiliate bank;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acquisitions of other businesses by us and integration of such acquired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market, economic, operational, liquidity, credit, and interest rate risks associated with our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continued availability of earnings and excess capital sufficient for the lawful and prudent declaration and payment of cash dividends.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Actual results, performance or achievement could differ materially from those contained in these forward-looking statements for a variety of reasons, including, without limitation, those discussed under “Risk Factors” in the applicable prospectus supplement and Item 1A of our most recent Annual Report on Form 10-K, and other factors discussed in the filings we make with the SEC.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attributable to the Corporation are expressly qualified in their entirety by these cautionary statements. Forward-looking statements speak only as of the date on which such statements are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as required by law, we disclaim any obligation to update these forward-looking statements, whether as a result of new information, future events, or otherwise. There is no assurance that future results, levels of activity, performance, or goals will be achieved.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75664_6"/>
      <w:bookmarkEnd w:id="8"/>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First Merchants is a financial holding company headquartered in Muncie, Indiana and was organized in September 1982. First Merchants common stock is listed on the Nasdaq Global Select Market under the symbol “FRME.” The Corporation conducts its banking operations through First Merchants Bank, a wholly-owned subsidiary that opened for business in Muncie, Indiana in March 1893. First Merchants Bank also operates First Merchants Private Wealth Advisors (a division of First Merchants Bank). First Merchants Bank operates 126 banking locations in Indiana, Ohio, and Michigan. In addition to its branch network, the Corporation offers comprehensive electronic and mobile delivery channels to its customers. The Corporation’s business activities are currently limited to one reportable business segment, which is community banking. </w:t>
      </w:r>
    </w:p>
    <w:p>
      <w:pPr>
        <w:pStyle w:val="TextBody"/>
        <w:bidi w:val="0"/>
        <w:spacing w:before="240" w:after="0"/>
        <w:jc w:val="left"/>
        <w:rPr>
          <w:rFonts w:ascii="Times New Roman" w:hAnsi="Times New Roman"/>
          <w:sz w:val="20"/>
        </w:rPr>
      </w:pPr>
      <w:r>
        <w:rPr>
          <w:rFonts w:ascii="Times New Roman" w:hAnsi="Times New Roman"/>
          <w:sz w:val="20"/>
        </w:rPr>
        <w:t xml:space="preserve">Through First Merchants Bank, the Corporation offers a broad range of commercial and consumer banking services to meet the diverse needs of our customers. Our commercial banking team offers a full spectrum of debt capital, treasury management services, and depository products. The consumer banking group offers a variety of consumer deposit and lending products. The mortgage banking team offers consumer mortgage solutions to assist with the purchase, refinance, construction, or renovation of residential properties. Private Wealth Advisors offers personal wealth management services with expertise in investment management, private banking, fiduciary estate, and financial planning.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75664_7"/>
      <w:bookmarkEnd w:id="9"/>
      <w:r>
        <w:rPr>
          <w:rFonts w:ascii="Times New Roman" w:hAnsi="Times New Roman"/>
          <w:b/>
          <w:sz w:val="20"/>
        </w:rPr>
        <w:t xml:space="preserve">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We may use this prospectus to offer securities in one or more offerings. A prospectus supplement, which we will provide each time we offer securities, will describe the amounts, prices and detailed terms of the securities, may describe risks associated with an investment in the securities, and will describe the particular material terms of the offered securities. If indicated in the applicable prospectus supplement, the terms of the offered securities may differ from the terms summarized in this prospectus. We will also include in the prospectus supplement, where applicable, information about material United States federal income tax considerations relating to the securities and the securities exchange, if any, on which the securities will be listed. Terms used in this prospectus will have the meanings described in this prospectus unless otherwise specified. The securities of each class as described in this prospectus may also be offered and sold, from time to time, by one or more selling security holders to be identified in the future. The descriptions of the securities contained in this prospectus, together with the applicable prospectus supplements, summarize certain material terms and provisions of the various types of securities that we or selling security holders may offer and do not contain all of the information that may be useful or important to you. You should refer to the provisions of the actual documents whose terms are summarized herein and in the applicable prospectus supplement because those documents, and not the summaries, define your rights as holders of the relevant securities. The forms of these documents will be filed with the SEC and will be available as described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to or through underwriters, dealers or agents or directly to purchasers. We, as well as any agents acting on our behalf, reserve the sole right to accept or reject, in whole or in part, any proposed purchase of our securities. Each prospectus supplement will set forth the names of any underwriters, dealers or agents involved in the sale of our securities described in that prospectus supplement and any applicable fee, commission or discount arrangements with them. We may issue securities in book-entry form through one or more depositaries, such as The Depository Trust Company, named in the applicable prospectus supplement. Each sale of a security in book-entry form will settle in immediately available funds through the applicable depositary, unless otherwise stated. We will issue the securities in registered form, without coupons.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sell securities unless accompanied by the applicable prospectus supplement. If any securities are to be listed on a securities exchange, the applicable prospectus supplement will state that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may sell our common stock, which have no par value. In a prospectus supplement, we will describe the aggregate number of shares offered, the offering price or prices of the shares, dividend rights, voting rights, rights upon liquidation or dissolution, and other relevant rights with respect to the common stock offered for sale in any such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and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We may sell our preferred stock, which have no par value, in one or more series. In a prospectus supplement, we will describe the specific designation, the aggregate number of shares offered, the dividend rate or manner of calculating the dividend rate, the dividend periods or manner of calculating the dividend periods, the ranking of the shares of the series with respect to dividends, liquidation and dissolution, the stated value of the shares of the series, the voting rights of the shares of the series, if any, whether and on what terms the shares of the series will be convertible or exchangeable, whether and on what terms we can redeem the shares of the series, whether we will offer depositary shares representing shares of the series and if so, the fraction or multiple of a preferred share represented by each depositary share, whether we will list the preferred stock or depositary shares on a securities exchange and any other specific terms of the series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debt securities, in one or more series, as either senior or subordinated debt or as senior or subordinated convertible or exchangeable debt. We will provide a prospectus supplement that describes the ranking, whether senior or subordinated, the level of seniority or subordination (as applicable), the specific designation, the aggregate principal amount, the purchase price, the maturity, the redemption terms, the interest rate or manner of calculating the interest rate, the time of payment of interest, if any, the terms for any conversion or exchange, including the terms relating to the adjustment of any conversion or exchange mechanism, the listing, if any, on a securities exchange and any other specific terms of the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in one or more series, for the purchase of our common stock, preferred stock and/or debt securities. Warrants may be offered independently, together with other securities offered by any prospectus supplement, or through a dividend or other distribution to shareholders and may be attached to or separate from other securities. In a prospectus supplement, we will inform you of the exercise price and other specific terms of the warrants, including whether our or your obligations, if any, under any warrants may be satisfied by delivering or purchasing the underlying securities or their cash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Units </w:t>
      </w:r>
    </w:p>
    <w:p>
      <w:pPr>
        <w:pStyle w:val="TextBody"/>
        <w:bidi w:val="0"/>
        <w:spacing w:before="120" w:after="0"/>
        <w:jc w:val="left"/>
        <w:rPr>
          <w:rFonts w:ascii="Times New Roman" w:hAnsi="Times New Roman"/>
          <w:sz w:val="20"/>
        </w:rPr>
      </w:pPr>
      <w:r>
        <w:rPr>
          <w:rFonts w:ascii="Times New Roman" w:hAnsi="Times New Roman"/>
          <w:sz w:val="20"/>
        </w:rPr>
        <w:t xml:space="preserve">We may sell any combination of one or more of the other securities described in this prospectus, together as units. In a prospectus supplement, we will describe the particular combination of securities constituting any units and any other specific terms of the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 Contracts </w:t>
      </w:r>
    </w:p>
    <w:p>
      <w:pPr>
        <w:pStyle w:val="TextBody"/>
        <w:bidi w:val="0"/>
        <w:spacing w:before="120" w:after="0"/>
        <w:jc w:val="left"/>
        <w:rPr>
          <w:rFonts w:ascii="Times New Roman" w:hAnsi="Times New Roman"/>
          <w:sz w:val="20"/>
        </w:rPr>
      </w:pPr>
      <w:r>
        <w:rPr>
          <w:rFonts w:ascii="Times New Roman" w:hAnsi="Times New Roman"/>
          <w:sz w:val="20"/>
        </w:rPr>
        <w:t xml:space="preserve">We may issue purchase contracts, including purchase contracts issued as part of a unit with one or more other securities, for the purchase or sale of our common stock, preferred stock, debt securities or depositary shares. The applicable prospectus supplement will describe the terms of any purchase contracts and, if applicable, collateral arrangements and depositary arrangements relating to such purchase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75664_8"/>
      <w:bookmarkEnd w:id="10"/>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certain provisions of our articles of incorporation and bylaws and certain provisions of Indiana law is a summary. The following description of the material terms of our capital stock is only a summary. The summary does not purport to be exhaustive and is qualified in its entirety by reference to our articles of incorporation, bylaws and the Indiana Business Corporation Law (the “IBCL”), as well as any other documents referenced in this summary and from which this summary is derived. Copies of our articles of incorporation and our bylaws have been filed with the SEC and are filed as exhibits to the registration statement of which this prospectus forms a part.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b/>
          <w:sz w:val="20"/>
        </w:rPr>
      </w:pPr>
      <w:r>
        <w:rPr>
          <w:rFonts w:ascii="Times New Roman" w:hAnsi="Times New Roman"/>
          <w:b/>
          <w:sz w:val="20"/>
          <w:u w:val="single"/>
        </w:rPr>
        <w:t>Authorized Common Stock</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total number of shares of common stock that we are authorized to issue is 100,000,000, all with no par value. Our common stock is listed on the Nasdaq Global Select Market under the symbol “FRME.” As such, the holders of our common stock are generally not restricted on sales of their shares.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General </w:t>
      </w:r>
    </w:p>
    <w:p>
      <w:pPr>
        <w:pStyle w:val="TextBody"/>
        <w:bidi w:val="0"/>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Each share of our common stock is entitled to one vote. Directors are elected by a plurality of the votes cast by the shares entitled to vote in an election at a shareholder’s meeting at which a quorum is present. Shareholders do not have a right to cumulate their votes for directors. The affirmative vote of a majority of the shares present and voting at a meeting of shareholders, in person or by proxy, is required for approval of all items submitted to the shareholders for consideration other than (i) the election of directors, as described above, which is based on a plurality of votes cast, (ii) certain amendments to our articles of incorporation, as described below under “Articles of Incorporation and Bylaw Amendments,” which require a greater percentage, and (iii) certain transactions involving one or more shareholders owning, directly or indirectly, not less than ten percent (10%) of our voting shares (see “Indiana Law and Certain Provisions of Our Articles of Incorporation; Anti-takeover Measures” below) or a liquidation or dissolution of us or any of our material subsidiaries, which, in such cases, requires the affirmative vote of the holders of not less than three-fourths (3/4) of our voting shares. </w:t>
      </w:r>
    </w:p>
    <w:p>
      <w:pPr>
        <w:pStyle w:val="TextBody"/>
        <w:bidi w:val="0"/>
        <w:spacing w:before="120" w:after="0"/>
        <w:jc w:val="left"/>
        <w:rPr>
          <w:rFonts w:ascii="Times New Roman" w:hAnsi="Times New Roman"/>
          <w:sz w:val="20"/>
        </w:rPr>
      </w:pPr>
      <w:r>
        <w:rPr>
          <w:rFonts w:ascii="Times New Roman" w:hAnsi="Times New Roman"/>
          <w:i/>
          <w:sz w:val="20"/>
        </w:rPr>
        <w:t>Dividend Rights</w:t>
      </w:r>
      <w:r>
        <w:rPr>
          <w:rFonts w:ascii="Times New Roman" w:hAnsi="Times New Roman"/>
          <w:sz w:val="20"/>
        </w:rPr>
        <w:t xml:space="preserve">. The holders of our common stock are entitled to dividends and other distributions when, as and if declared by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Generally, we may not pay a dividend if, after giving effect to the dividend: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would not be able to pay our debts as they become due in the usual course of business;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total assets would be less than the sum of our total liabilities plus the amount that would be needed to satisfy preferential rights of shareholders payable upon dissolution.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principal source of funds for dividend payments to shareholders is dividends received from First Merchants Bank, our wholly-owned bank subsidiary. Banking regulations limit the maximum amount of dividends that a bank may pay without requesting prior approval of regulatory agencies. Under these regulations, the amount of dividends that may be paid in any calendar year is limited to a bank’s retained net income (as defined in the regulations) for the current year plus those for the previous two years, subject to the capital requirements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First Merchants Bank will ordinarily be restricted to paying dividends in a lesser amount to us than is legally permissible because of the need for banks to maintain adequate capital consistent with the capital adequacy guidelines promulgated by the banks’ principal federal regulatory authorities. If a bank’s capital levels are deemed inadequate by the regulatory authorities, payment of dividends to its parent holding company may be prohibited. First Merchants Bank is not currently subject to such a restriction.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Redemption</w:t>
      </w:r>
      <w:r>
        <w:rPr>
          <w:rFonts w:ascii="Times New Roman" w:hAnsi="Times New Roman"/>
          <w:sz w:val="20"/>
        </w:rPr>
        <w:t xml:space="preserve">. Under Indiana law, we may only redeem or acquire shares of our common stock with funds legally available therefor, and shares so acquired constitute authorized but unissued shares. We may not redeem or acquire our shares of common stock if, after such redemption, we would not be able to pay our debts as they become due. Additionally, we may not redeem our shares if our total assets would be less than the sum of our total liabilities plus preferential rights of shareholders payable upon dissolution. </w:t>
      </w:r>
    </w:p>
    <w:p>
      <w:pPr>
        <w:pStyle w:val="TextBody"/>
        <w:bidi w:val="0"/>
        <w:spacing w:before="240" w:after="0"/>
        <w:jc w:val="left"/>
        <w:rPr>
          <w:rFonts w:ascii="Times New Roman" w:hAnsi="Times New Roman"/>
          <w:sz w:val="20"/>
        </w:rPr>
      </w:pPr>
      <w:r>
        <w:rPr>
          <w:rFonts w:ascii="Times New Roman" w:hAnsi="Times New Roman"/>
          <w:i/>
          <w:sz w:val="20"/>
        </w:rPr>
        <w:t>Liquidation Rights</w:t>
      </w:r>
      <w:r>
        <w:rPr>
          <w:rFonts w:ascii="Times New Roman" w:hAnsi="Times New Roman"/>
          <w:sz w:val="20"/>
        </w:rPr>
        <w:t xml:space="preserve">. In the event of any liquidation or dissolution of us, our shareholders are entitled to receive pro rata, according to the number of shares held, any assets distributable to shareholders, subject to the payment of our liabilities and any rights of creditors and holders of shares of our preferred stock then outstanding. </w:t>
      </w:r>
    </w:p>
    <w:p>
      <w:pPr>
        <w:pStyle w:val="TextBody"/>
        <w:bidi w:val="0"/>
        <w:spacing w:before="240" w:after="0"/>
        <w:jc w:val="left"/>
        <w:rPr>
          <w:rFonts w:ascii="Times New Roman" w:hAnsi="Times New Roman"/>
          <w:sz w:val="20"/>
        </w:rPr>
      </w:pPr>
      <w:r>
        <w:rPr>
          <w:rFonts w:ascii="Times New Roman" w:hAnsi="Times New Roman"/>
          <w:i/>
          <w:sz w:val="20"/>
        </w:rPr>
        <w:t>Preemptive Rights</w:t>
      </w:r>
      <w:r>
        <w:rPr>
          <w:rFonts w:ascii="Times New Roman" w:hAnsi="Times New Roman"/>
          <w:sz w:val="20"/>
        </w:rPr>
        <w:t xml:space="preserve">. Our articles of incorporation do not provide for preemptive rights for shareholders to subscribe for any new or additional shares of common stock. </w:t>
      </w:r>
    </w:p>
    <w:p>
      <w:pPr>
        <w:pStyle w:val="TextBody"/>
        <w:bidi w:val="0"/>
        <w:spacing w:before="240" w:after="0"/>
        <w:jc w:val="left"/>
        <w:rPr>
          <w:rFonts w:ascii="Times New Roman" w:hAnsi="Times New Roman"/>
          <w:sz w:val="20"/>
        </w:rPr>
      </w:pPr>
      <w:r>
        <w:rPr>
          <w:rFonts w:ascii="Times New Roman" w:hAnsi="Times New Roman"/>
          <w:i/>
          <w:sz w:val="20"/>
        </w:rPr>
        <w:t>Articles of Incorporation and Bylaw Amendments</w:t>
      </w:r>
      <w:r>
        <w:rPr>
          <w:rFonts w:ascii="Times New Roman" w:hAnsi="Times New Roman"/>
          <w:sz w:val="20"/>
        </w:rPr>
        <w:t xml:space="preserve">. Indiana law generally requires shareholder approval for most amendments to a corporation’s articles of incorporation by a majority of a quorum at a shareholder’s meeting (and, in certain cases, a majority of all shares held by any voting group entitled to vote). However, Indiana law permits a corporation in its articles of incorporation to specify a higher shareholder vote requirement for certain amendments. Our articles of incorporation require (i) the affirmative vote of three-fourths (3/4) of our outstanding shares of stock entitled to vote for an amendment to certain significant provisions of the articles of incorporation (see “Removal of Directors” and “Classification of the Board of Directors” below), and (ii) a majority of our outstanding shares for all other amendments.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bylaws or in the articles of incorporation, our board of directors, by a majority vote of the actual number of directors elected and qualified, may from time to time make, alter, amend or repeal the bylaws. </w:t>
      </w:r>
    </w:p>
    <w:p>
      <w:pPr>
        <w:pStyle w:val="TextBody"/>
        <w:bidi w:val="0"/>
        <w:spacing w:before="240" w:after="0"/>
        <w:jc w:val="left"/>
        <w:rPr>
          <w:rFonts w:ascii="Times New Roman" w:hAnsi="Times New Roman"/>
          <w:sz w:val="20"/>
        </w:rPr>
      </w:pPr>
      <w:r>
        <w:rPr>
          <w:rFonts w:ascii="Times New Roman" w:hAnsi="Times New Roman"/>
          <w:i/>
          <w:sz w:val="20"/>
        </w:rPr>
        <w:t>Removal of Directors.</w:t>
      </w:r>
      <w:r>
        <w:rPr>
          <w:rFonts w:ascii="Times New Roman" w:hAnsi="Times New Roman"/>
          <w:sz w:val="20"/>
        </w:rPr>
        <w:t xml:space="preserve"> Our articles of incorporation and bylaws provide that any director or all directors may be removed, with or without cause, at a meeting of shareholders upon the vote of the holders of not less than two-thirds (2/3) of the outstanding shares of capital stock entitled to vote on the election of directors. However, if two-thirds (2/3) of the entire board of directors recommends removal of a director to the shareholders, then such director may be removed by the affirmative vote of the holders of at least a majority of the outstanding shares of capital stock entitled to vote on the election of directors at a shareholders meeting. Amendment of these provisions of our articles of incorporation requires the affirmative vote of three-fourths (3/4) of our outstanding shares of stock entitled to vote on such amendment. A two-thirds (2/3) vote of the entire board of directors is required to amend such provisions of our bylaws. </w:t>
      </w:r>
    </w:p>
    <w:p>
      <w:pPr>
        <w:pStyle w:val="TextBody"/>
        <w:bidi w:val="0"/>
        <w:spacing w:before="240" w:after="0"/>
        <w:jc w:val="left"/>
        <w:rPr>
          <w:rFonts w:ascii="Times New Roman" w:hAnsi="Times New Roman"/>
          <w:sz w:val="20"/>
        </w:rPr>
      </w:pPr>
      <w:r>
        <w:rPr>
          <w:rFonts w:ascii="Times New Roman" w:hAnsi="Times New Roman"/>
          <w:i/>
          <w:sz w:val="20"/>
        </w:rPr>
        <w:t>Classification of the Board of Directors</w:t>
      </w:r>
      <w:r>
        <w:rPr>
          <w:rFonts w:ascii="Times New Roman" w:hAnsi="Times New Roman"/>
          <w:sz w:val="20"/>
        </w:rPr>
        <w:t>. Our articles of incorporation and bylaws provide that the directors of the board of directors shall be divided into three classes, with the number of directors in each class being as nearly equal as possible and the term for one class expiring at each annual meeting of shareholders (</w:t>
      </w:r>
      <w:r>
        <w:rPr>
          <w:rFonts w:ascii="Times New Roman" w:hAnsi="Times New Roman"/>
          <w:i/>
          <w:sz w:val="20"/>
        </w:rPr>
        <w:t>i.e.</w:t>
      </w:r>
      <w:r>
        <w:rPr>
          <w:rFonts w:ascii="Times New Roman" w:hAnsi="Times New Roman"/>
          <w:sz w:val="20"/>
        </w:rPr>
        <w:t xml:space="preserve">, directors generally serve three-year staggered terms). The directors in each class are eligible for re-election to a new term by the shareholders at the annual meeting held in the year in which the term for their class expires. Amendment of these provisions of our articles of incorporation requires the affirmative vote of three-fourths (3/4) of our outstanding shares of stock entitled to vote on such amendment. A two-thirds (2/3) vote of the entire board of directors is required to amend such provisions of our bylaws. Commencing with the annual meeting of shareholders to be held in 2027, the classification of our board of directors shall terminate and all directors shall, as of such meeting and thereafter, be elected for a one-year term expiring at the next annual meeting of shareholders and until their successors are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Vacancies occurring between annual meetings caused by a director’s resignation, death or other incapacity, or by an increase in the number of directors, may be filled by a majority vote of the remaining members of the board of directors until our next annual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As stated above, our shareholders do not have cumulative voting rights in the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b/>
          <w:sz w:val="20"/>
        </w:rPr>
      </w:pPr>
      <w:r>
        <w:rPr>
          <w:rFonts w:ascii="Times New Roman" w:hAnsi="Times New Roman"/>
          <w:b/>
          <w:sz w:val="20"/>
          <w:u w:val="single"/>
        </w:rPr>
        <w:t>Authorized Preferred Stock</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preferred stock consists of 500,000 shares of preferred stock, without par value. As of June 30, 2026, 10,000 shares of preferred stock were issued and outstanding, comprised of 10,000 shares of 7.50% Non-Cumulative Perpetual Preferred Stock, Series A. </w:t>
      </w:r>
    </w:p>
    <w:p>
      <w:pPr>
        <w:pStyle w:val="TextBody"/>
        <w:bidi w:val="0"/>
        <w:spacing w:before="240" w:after="0"/>
        <w:jc w:val="left"/>
        <w:rPr>
          <w:rFonts w:ascii="Times New Roman" w:hAnsi="Times New Roman"/>
          <w:b/>
          <w:sz w:val="20"/>
        </w:rPr>
      </w:pPr>
      <w:r>
        <w:rPr>
          <w:rFonts w:ascii="Times New Roman" w:hAnsi="Times New Roman"/>
          <w:b/>
          <w:sz w:val="20"/>
          <w:u w:val="single"/>
        </w:rPr>
        <w:t>General</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our articles of incorporation and the IBCL, preferred stock may be issued from time to time in one or more series, upon board authorization and without shareholder approval. Within certain legal limits, our board of directors is authorized to determine the terms of any series of preferred stock,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number of shares to issue, price, dividend rate, voting rights and liquidation preferences;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sinking fund or conversion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limitations and relative rights and preferences.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our board of directors, without shareholder approval, could authorize preferred stock to be issued with voting, conversion and other rights that could adversely affect the voting power and other rights of common shareholders or other outstanding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Each series of preferred stock will have the dividend, liquidation, redemption and voting rights described below unless otherwise described in a prospectus supplement pertaining to a specific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following terms of the series of preferred stock in respect of which this prospectus is being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that series and the number of shares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the liquidation preference, if any, per share or the method of calculating the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public offering price at which shares of that series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if any, or the method of calculating the rate and the dates on which dividends will begin to cumulate,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or exchange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voting or additional rights, preferences, privileges, qualifications, limitations and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listing;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that series as to dividend rights and rights upon liquidation, dissolution or winding up of the Corporation;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of our preferred stock, when issued against full payment of the purchase price,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When appropriate, the applicable prospectus supplement will describe the United States federal income tax considerations relevant to the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Rank</w:t>
      </w:r>
      <w:r>
        <w:rPr>
          <w:rFonts w:ascii="Times New Roman" w:hAnsi="Times New Roman"/>
          <w:sz w:val="20"/>
        </w:rPr>
        <w:t xml:space="preserve">. Each series of preferred stock will, with respect to dividend rights and rights upon our liquidation, dissolution or winding up, rank prior to common stock. The rank of each separate series of preferred stock will be described in the applicable prospectus supplement, but all shares of each series will be of equal rank with each other.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Holders of each series of preferred stock will be entitled to receive, when, as and if our board of directors declares, cash dividends, payable at the dates and at the rates per share as described in the applicable prospectus supplement. Those rates may be fixed, variable or both. </w:t>
      </w:r>
    </w:p>
    <w:p>
      <w:pPr>
        <w:pStyle w:val="TextBody"/>
        <w:bidi w:val="0"/>
        <w:spacing w:before="240" w:after="0"/>
        <w:jc w:val="left"/>
        <w:rPr>
          <w:rFonts w:ascii="Times New Roman" w:hAnsi="Times New Roman"/>
          <w:sz w:val="20"/>
        </w:rPr>
      </w:pPr>
      <w:r>
        <w:rPr>
          <w:rFonts w:ascii="Times New Roman" w:hAnsi="Times New Roman"/>
          <w:sz w:val="20"/>
        </w:rPr>
        <w:t xml:space="preserve">Dividends may be cumulative or non-cumulative, as described in the applicable prospectus supplement. If dividends on a series of preferred stock are non-cumulative and if our board of directors fails to declare a dividend for a dividend period for that series, then holders of that preferred stock will have no right to receive a dividend for that dividend period, and we will have no obligation to pay the dividend for that period, whether or not dividends are declared for any future dividend payment dates. If dividends on a series of preferred stock are cumulative, the dividends on those shares will accrue from and after the date mentioned in the applicable prospectus supplement. </w:t>
      </w:r>
    </w:p>
    <w:p>
      <w:pPr>
        <w:pStyle w:val="TextBody"/>
        <w:bidi w:val="0"/>
        <w:spacing w:before="240" w:after="0"/>
        <w:jc w:val="left"/>
        <w:rPr>
          <w:rFonts w:ascii="Times New Roman" w:hAnsi="Times New Roman"/>
          <w:sz w:val="20"/>
        </w:rPr>
      </w:pPr>
      <w:r>
        <w:rPr>
          <w:rFonts w:ascii="Times New Roman" w:hAnsi="Times New Roman"/>
          <w:i/>
          <w:sz w:val="20"/>
        </w:rPr>
        <w:t>Redemption</w:t>
      </w:r>
      <w:r>
        <w:rPr>
          <w:rFonts w:ascii="Times New Roman" w:hAnsi="Times New Roman"/>
          <w:sz w:val="20"/>
        </w:rPr>
        <w:t xml:space="preserve">. The terms on which any series of preferred stock may be redeemed will be set forth in the applicable prospectus supplement. All shares of preferred stock which we redeem, purchase or acquire, including shares surrendered for conversion or exchange, will be retired and restored to the status of authorized but unissued shares, but may be reissued only as a part of the preferred stock other than the series of which they were originally a part. </w:t>
      </w:r>
    </w:p>
    <w:p>
      <w:pPr>
        <w:pStyle w:val="TextBody"/>
        <w:bidi w:val="0"/>
        <w:spacing w:before="240" w:after="0"/>
        <w:jc w:val="left"/>
        <w:rPr>
          <w:rFonts w:ascii="Times New Roman" w:hAnsi="Times New Roman"/>
          <w:sz w:val="20"/>
        </w:rPr>
      </w:pPr>
      <w:r>
        <w:rPr>
          <w:rFonts w:ascii="Times New Roman" w:hAnsi="Times New Roman"/>
          <w:i/>
          <w:sz w:val="20"/>
        </w:rPr>
        <w:t>Liquidation</w:t>
      </w:r>
      <w:r>
        <w:rPr>
          <w:rFonts w:ascii="Times New Roman" w:hAnsi="Times New Roman"/>
          <w:sz w:val="20"/>
        </w:rPr>
        <w:t xml:space="preserve">. In the event of our voluntary or involuntary liquidation, dissolution or winding up, preferred shareholders of any particular series will be entitled, subject to creditors’ rights and holders of any series of preferred stock ranking senior as to liquidation rights, but before any distribution to common shareholders or holders of any series of preferred stock ranking junior as to liquidation rights, to receive a liquidating distribution in the amount of the liquidation preference, if any, per share as mentioned in the applicable prospectus supplement, plus accrued and unpaid dividends for the current dividend period. This would include any accumulation of unpaid dividends for prior dividend periods, if dividends on that series of preferred stock are cumulative. If the amounts available for distribution upon our liquidation, dissolution or winding up are not sufficient to satisfy the full liquidation rights of all the outstanding preferred stock of that series and all stock ranking equal to that series of preferred stock, then the holders of each series of that stock will share ratably in any distribution of assets in proportion to the full respective preferential amount, which may include accumulated dividends, to which they are entitled. After the full amount of the liquidation preference is paid, the holders of preferred stock will not be entitled to any further participation in any distribution of our assets. </w:t>
      </w:r>
    </w:p>
    <w:p>
      <w:pPr>
        <w:pStyle w:val="TextBody"/>
        <w:bidi w:val="0"/>
        <w:spacing w:before="240" w:after="0"/>
        <w:jc w:val="left"/>
        <w:rPr>
          <w:rFonts w:ascii="Times New Roman" w:hAnsi="Times New Roman"/>
          <w:sz w:val="20"/>
        </w:rPr>
      </w:pPr>
      <w:r>
        <w:rPr>
          <w:rFonts w:ascii="Times New Roman" w:hAnsi="Times New Roman"/>
          <w:i/>
          <w:sz w:val="20"/>
        </w:rPr>
        <w:t>Voting.</w:t>
      </w:r>
      <w:r>
        <w:rPr>
          <w:rFonts w:ascii="Times New Roman" w:hAnsi="Times New Roman"/>
          <w:sz w:val="20"/>
        </w:rPr>
        <w:t xml:space="preserve"> The voting rights of preferred stock of any series will be described in the applicable prospectus supplement. Under Indiana law, regardless of whether a class or a series of shares is granted voting rights by the terms of our articles of incorporation, the shareholders of that class or series are entitled to vote as a separate voting group, or together with other similarly affected series, on certain amendments to our articles of incorporation and certain other fundamental changes that directly affect that class or series. </w:t>
      </w:r>
    </w:p>
    <w:p>
      <w:pPr>
        <w:pStyle w:val="TextBody"/>
        <w:bidi w:val="0"/>
        <w:spacing w:before="240" w:after="0"/>
        <w:jc w:val="left"/>
        <w:rPr>
          <w:rFonts w:ascii="Times New Roman" w:hAnsi="Times New Roman"/>
          <w:sz w:val="20"/>
        </w:rPr>
      </w:pPr>
      <w:r>
        <w:rPr>
          <w:rFonts w:ascii="Times New Roman" w:hAnsi="Times New Roman"/>
          <w:sz w:val="20"/>
        </w:rPr>
        <w:t xml:space="preserve">Under regulations of the Board of Governors of the Federal Reserve System the (“Federal Reserve Board”), if the holders of any series of preferred stock become entitled to vote for the election of directors because dividends on that series are in arrears, that series may then be deemed a “class of voting securities,” and a holder of 25% or more of that series (or a holder of 5% or more if it otherwise exercises a “controlling influence” over First Merchants) may then be subject to regulation as a bank holding company. In addition, in that 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bank holding company may be required to obtain Federal Reserve Board approval, and any foreign bank, and any company that controls a foreign bank, that has certain types of U.S. banking operations may be required to obtain Federal Reserve Board approval under the International Banking Act of 1978, to acquire 5% or more of that series of preferred stock;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other than a bank holding company may be required to obtain Federal Reserve Board approval under the Change in Bank Control Act of 1978 to acquire 10% or more of that series of preferred stock. </w:t>
            </w:r>
          </w:p>
        </w:tc>
      </w:tr>
    </w:tbl>
    <w:p>
      <w:pPr>
        <w:pStyle w:val="TextBody"/>
        <w:bidi w:val="0"/>
        <w:spacing w:before="240" w:after="0"/>
        <w:jc w:val="left"/>
        <w:rPr>
          <w:rFonts w:ascii="Times New Roman" w:hAnsi="Times New Roman"/>
          <w:sz w:val="20"/>
        </w:rPr>
      </w:pPr>
      <w:r>
        <w:rPr>
          <w:rFonts w:ascii="Times New Roman" w:hAnsi="Times New Roman"/>
          <w:i/>
          <w:sz w:val="20"/>
        </w:rPr>
        <w:t>Conversion or Exchange.</w:t>
      </w:r>
      <w:r>
        <w:rPr>
          <w:rFonts w:ascii="Times New Roman" w:hAnsi="Times New Roman"/>
          <w:sz w:val="20"/>
        </w:rPr>
        <w:t xml:space="preserve"> The terms on which preferred stock of any series may be converted into or exchanged for another class or series of securities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i/>
          <w:sz w:val="20"/>
        </w:rPr>
        <w:t>Other Rights.</w:t>
      </w:r>
      <w:r>
        <w:rPr>
          <w:rFonts w:ascii="Times New Roman" w:hAnsi="Times New Roman"/>
          <w:sz w:val="20"/>
        </w:rPr>
        <w:t xml:space="preserve"> The shares of a series of preferred stock may have the preferences, voting powers or relative, participating, optional or other special rights as may be described in the applicable prospectus supplement, our articles of incorporation, or as otherwise required by law. The holders of preferred stock will not have any preemptive rights to subscribe to any of our securities. </w:t>
      </w:r>
    </w:p>
    <w:p>
      <w:pPr>
        <w:pStyle w:val="TextBody"/>
        <w:bidi w:val="0"/>
        <w:spacing w:before="240" w:after="0"/>
        <w:jc w:val="left"/>
        <w:rPr>
          <w:rFonts w:ascii="Times New Roman" w:hAnsi="Times New Roman"/>
          <w:sz w:val="20"/>
        </w:rPr>
      </w:pPr>
      <w:r>
        <w:rPr>
          <w:rFonts w:ascii="Times New Roman" w:hAnsi="Times New Roman"/>
          <w:i/>
          <w:sz w:val="20"/>
        </w:rPr>
        <w:t>Title.</w:t>
      </w:r>
      <w:r>
        <w:rPr>
          <w:rFonts w:ascii="Times New Roman" w:hAnsi="Times New Roman"/>
          <w:sz w:val="20"/>
        </w:rPr>
        <w:t xml:space="preserve"> First Merchants, any transfer agent and registrar for a series of preferred stock, and any of their agents may treat the registered owner of that preferred stock as the absolute owner of that stock, whether or not any payment for that preferred stock shall be overdue and despite any notice to the contrary, for any purpose. </w:t>
      </w:r>
    </w:p>
    <w:p>
      <w:pPr>
        <w:pStyle w:val="TextBody"/>
        <w:bidi w:val="0"/>
        <w:spacing w:before="240" w:after="0"/>
        <w:jc w:val="left"/>
        <w:rPr>
          <w:rFonts w:ascii="Times New Roman" w:hAnsi="Times New Roman"/>
          <w:sz w:val="20"/>
        </w:rPr>
      </w:pPr>
      <w:r>
        <w:rPr>
          <w:rFonts w:ascii="Times New Roman" w:hAnsi="Times New Roman"/>
          <w:i/>
          <w:sz w:val="20"/>
        </w:rPr>
        <w:t>Transfer Agent and Registrar.</w:t>
      </w:r>
      <w:r>
        <w:rPr>
          <w:rFonts w:ascii="Times New Roman" w:hAnsi="Times New Roman"/>
          <w:sz w:val="20"/>
        </w:rPr>
        <w:t xml:space="preserve"> Unless the applicable prospectus supplement specifies otherwise, Broadridge Corporate Issuer Solutions, Inc. will be the transfer agent, registrar and dividend disbursement agent for each series of preferred stock. </w:t>
      </w:r>
    </w:p>
    <w:p>
      <w:pPr>
        <w:pStyle w:val="TextBody"/>
        <w:bidi w:val="0"/>
        <w:spacing w:before="240" w:after="0"/>
        <w:jc w:val="left"/>
        <w:rPr>
          <w:rFonts w:ascii="Times New Roman" w:hAnsi="Times New Roman"/>
          <w:b/>
          <w:i/>
          <w:sz w:val="20"/>
        </w:rPr>
      </w:pPr>
      <w:r>
        <w:rPr>
          <w:rFonts w:ascii="Times New Roman" w:hAnsi="Times New Roman"/>
          <w:b/>
          <w:i/>
          <w:sz w:val="20"/>
        </w:rPr>
        <w:t xml:space="preserve">Indiana Law and Certain Provisions of Our Articles of Incorporation; Anti-takeover Measures </w:t>
      </w:r>
    </w:p>
    <w:p>
      <w:pPr>
        <w:pStyle w:val="TextBody"/>
        <w:bidi w:val="0"/>
        <w:spacing w:before="120" w:after="0"/>
        <w:jc w:val="left"/>
        <w:rPr>
          <w:rFonts w:ascii="Times New Roman" w:hAnsi="Times New Roman"/>
          <w:b/>
          <w:sz w:val="20"/>
        </w:rPr>
      </w:pPr>
      <w:r>
        <w:rPr>
          <w:rFonts w:ascii="Times New Roman" w:hAnsi="Times New Roman"/>
          <w:b/>
          <w:sz w:val="20"/>
          <w:u w:val="single"/>
        </w:rPr>
        <w:t>Articles of Incorporation</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articles of incorporation currently authorize the issuance of 100,000,000 shares of common stock and 500,000 shares of preferred stock. Within the limits of applicable law and the listing rules of the Nasdaq Global Select Market, these shares are available to be issued, without prior shareholder approval, with relative rights, privileges and preferences determined by our board of directors. The board could therefore authorize preferred stock with voting, conversion or other rights that could adversely affect the voting power and other rights of common shareholders or other outstanding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Our articles of incorporation also provide that the affirmative vote of holders of not less than three-fourths (3/4) of the voting shares is required for certain business combinations involving a 10% shareholder, including certain mergers, dispositions of material assets, liquidations or dissolutions, recapitalizations and other transactions that increase a 10% shareholder’s proportionate ownership. </w:t>
      </w:r>
    </w:p>
    <w:p>
      <w:pPr>
        <w:pStyle w:val="TextBody"/>
        <w:bidi w:val="0"/>
        <w:spacing w:before="240" w:after="0"/>
        <w:jc w:val="left"/>
        <w:rPr>
          <w:rFonts w:ascii="Times New Roman" w:hAnsi="Times New Roman"/>
          <w:sz w:val="20"/>
        </w:rPr>
      </w:pPr>
      <w:r>
        <w:rPr>
          <w:rFonts w:ascii="Times New Roman" w:hAnsi="Times New Roman"/>
          <w:sz w:val="20"/>
        </w:rPr>
        <w:t xml:space="preserve">Before approval of a business combination, the board of directors must evaluate all relevant factors and issues and report its conclusion to shareholders. Those factors include the impact of the business combination on the communities in which we or our subsidiaries conduct business, employees, suppliers and customers, as well as any other financial or non-financial factors the board deems relevant. </w:t>
      </w:r>
    </w:p>
    <w:p>
      <w:pPr>
        <w:pStyle w:val="TextBody"/>
        <w:bidi w:val="0"/>
        <w:spacing w:before="240" w:after="0"/>
        <w:jc w:val="left"/>
        <w:rPr>
          <w:rFonts w:ascii="Times New Roman" w:hAnsi="Times New Roman"/>
          <w:sz w:val="20"/>
        </w:rPr>
      </w:pPr>
      <w:r>
        <w:rPr>
          <w:rFonts w:ascii="Times New Roman" w:hAnsi="Times New Roman"/>
          <w:sz w:val="20"/>
        </w:rPr>
        <w:t xml:space="preserve">Any director may be removed, with or without cause, by the affirmative vote of holders of not less than two-thirds (2/3) of the outstanding shares entitled to vote on the election of directors. If the board of directors, by an affirmative vote of at least two-thirds (2/3) of the entire board, recommends removal, the removal may be effected by the affirmative vote of holders of a majority of those shares. </w:t>
      </w:r>
    </w:p>
    <w:p>
      <w:pPr>
        <w:pStyle w:val="TextBody"/>
        <w:bidi w:val="0"/>
        <w:spacing w:before="240" w:after="0"/>
        <w:jc w:val="left"/>
        <w:rPr>
          <w:rFonts w:ascii="Times New Roman" w:hAnsi="Times New Roman"/>
          <w:sz w:val="20"/>
        </w:rPr>
      </w:pPr>
      <w:r>
        <w:rPr>
          <w:rFonts w:ascii="Times New Roman" w:hAnsi="Times New Roman"/>
          <w:sz w:val="20"/>
        </w:rPr>
        <w:t xml:space="preserve">No amendment may repeal, modify, amend, alter or diminish the provisions of Article V, Section 1, Section 1 of Article VII, Sections 4, 11 or 12 of Article IX, or Article X of our articles of incorporation without the affirmative vote of three-fourths (3/4) of the outstanding shares entitled to vote on the amendment.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in our articles of incorporation are designed to encourage potential acquirers to negotiate with our board of directors and to preserve for shareholders our value in a takeover attempt. These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reduce the likelihood that a potential acquirer who is unwilling to pay a market premium determined by the board to be sufficient will attempt to acquire shares of our common stock by means of an open market accumulation, front-end loaded tender offer or other coercive or unfair takeover tactic.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Indiana Law </w:t>
      </w:r>
    </w:p>
    <w:p>
      <w:pPr>
        <w:pStyle w:val="TextBody"/>
        <w:bidi w:val="0"/>
        <w:spacing w:before="240" w:after="0"/>
        <w:jc w:val="left"/>
        <w:rPr>
          <w:rFonts w:ascii="Times New Roman" w:hAnsi="Times New Roman"/>
          <w:sz w:val="20"/>
        </w:rPr>
      </w:pPr>
      <w:r>
        <w:rPr>
          <w:rFonts w:ascii="Times New Roman" w:hAnsi="Times New Roman"/>
          <w:sz w:val="20"/>
        </w:rPr>
        <w:t xml:space="preserve">Chapters 42 and 43 of the IBCL, which are applicable to us, may be deemed to have certain anti-takeover effects by prescribing, in the case of Chapter 42, certain voting requirements in instances in which a person acquires our shares in excess of certain thresholds or proscribing, in the case of Chapter 43, certain transactions between the us and an “interested stockholder” (defined generally as a person beneficially owning 10% or more of a corporation’s outstanding voting stock) during the five year period following the time such person became an interested stockholder. </w:t>
      </w:r>
    </w:p>
    <w:p>
      <w:pPr>
        <w:pStyle w:val="TextBody"/>
        <w:bidi w:val="0"/>
        <w:spacing w:before="240" w:after="0"/>
        <w:jc w:val="left"/>
        <w:rPr>
          <w:rFonts w:ascii="Times New Roman" w:hAnsi="Times New Roman"/>
          <w:sz w:val="20"/>
        </w:rPr>
      </w:pPr>
      <w:r>
        <w:rPr>
          <w:rFonts w:ascii="Times New Roman" w:hAnsi="Times New Roman"/>
          <w:sz w:val="20"/>
        </w:rPr>
        <w:t xml:space="preserve">In addition, Chapter 35 of the IBCL provides that in taking or declining to take any action, or in making or declining to make any recommendation to the shareholders of the corporation with respect to any matter, a board of directors may, in its discretion, consider both the short term and long term best interests of the corporation, taking into account, and weighing as the directors deem appropriate, the effects thereof on the corporation’s shareholders and the other corporate constituent groups and interests, as well as any other factors deemed pertinent by the directors. As a result, by expanding the factors that may be considered relevant by the directors in assessing a takeover proposal, this provision could be deemed to have certain anti-takeover effects.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Banking Holding Company Act </w:t>
      </w:r>
    </w:p>
    <w:p>
      <w:pPr>
        <w:pStyle w:val="TextBody"/>
        <w:bidi w:val="0"/>
        <w:spacing w:before="120" w:after="0"/>
        <w:jc w:val="left"/>
        <w:rPr>
          <w:rFonts w:ascii="Times New Roman" w:hAnsi="Times New Roman"/>
          <w:sz w:val="20"/>
        </w:rPr>
      </w:pPr>
      <w:r>
        <w:rPr>
          <w:rFonts w:ascii="Times New Roman" w:hAnsi="Times New Roman"/>
          <w:sz w:val="20"/>
        </w:rPr>
        <w:t xml:space="preserve">The Bank Holding Company Act generally would prohibit any company that, together with its affiliates, is not solely engaged in activities that are permissible for a bank holding company or a financial holding company from acquiring control of us. For these purposes, “control” is generally defined as ownership, control or the ability to vote 25% or more of any class of voting stock of, control of the election of a majority of the directors of or other exercise of a controlling influence over a bank holding company. In addition, any existing bank holding company would need the prior approval of the Federal Reserve before acquiring more than 5% of our voting stock. The Change in Bank Control Act of 1978, as amended, prohibits a person or group of persons from acquiring control of a bank holding company unless the Federal Reserve has been notified and has not objected to the transaction. Under a rebuttable presumption established by regulations of the Federal Reserve, the acquisition of 10% or more of a class of voting stock of a bank holding company with a class of securities registered under Section 12 of the Exchange Act, such as us, is presumed to constitute acquisition of control of the bank holding company for purposes of the Change in Bank Control Act of 1978.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75664_9"/>
      <w:bookmarkEnd w:id="11"/>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shares will be issued under deposit agreements to be entered into between us and a bank or trust company, as depositary, all to be set forth in the applicable prospectus supplement relating to any or all depositary shares in respect of which this prospectus is being delivered. We will file a copy of the deposit agreement and the depositary receipt with the SEC each time we issue a series of depositary shares, and these depositary receipts and deposit agreements will be incorporated by reference into the registration statement of which this prospectus forms a part.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If we elect to offer fractional interests in shares of preferred stock, we will provide for the issuance by a depositary to the public of receipts for depositary shares. Each depositary share will represent fractional interests of preferred stock. We will deposit the shares of preferred stock underlying the depositary shares under a deposit agreement between us and a bank or trust company selected by us. The bank or trust company must have its principal office in the United States and a combined capital and surplus of at least $50 million. The depositary receipts will evidence the depositary shares issued under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deposit agreement will contain terms applicable to the holders of depositary shares in addition to the terms stated in the depositary receipts. Each owner of depositary shares will be entitled to all the rights and preferences of the preferred stock underlying the depositary shares in proportion to the applicable fractional interest in the underlying shares of preferred stock. The depositary will issue the depositary receipts to individuals purchasing the fractional interests in shares of the related preferred stock according to the terms of the offering described in a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distribute all cash dividends or other cash distributions received for the preferred stock to the entitled record holders of depositary shares in proportion to the number of depositary shares that the holder owns on the relevant record date. The depositary will distribute only an amount that can be distributed without attributing to any holder of depositary shares a fraction of one cent. The depositary will add the undistributed balance to and treat it as part of the next sum received by the depositary for distribution to holders of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If there is a non-cash distribution, the depositary will distribute property received by it to the entitled record holders of depositary shares, in proportion, insofar as possible, to the number of depositary shares owned by the holders, unless the depositary determines, after consultation with us, that it is not feasible to make such distribution. If this occurs, the depositary may, with our approval, sell such property and distribute the net proceeds from the sale to the holders. The deposit agreement also will contain provisions relating to how any subscription or similar rights that we may offer to holders of the preferred stock will be available to the holders of the depositary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Exchange and Redemption </w:t>
      </w:r>
    </w:p>
    <w:p>
      <w:pPr>
        <w:pStyle w:val="TextBody"/>
        <w:bidi w:val="0"/>
        <w:spacing w:before="120" w:after="0"/>
        <w:jc w:val="left"/>
        <w:rPr>
          <w:rFonts w:ascii="Times New Roman" w:hAnsi="Times New Roman"/>
          <w:sz w:val="20"/>
        </w:rPr>
      </w:pPr>
      <w:r>
        <w:rPr>
          <w:rFonts w:ascii="Times New Roman" w:hAnsi="Times New Roman"/>
          <w:sz w:val="20"/>
        </w:rPr>
        <w:t xml:space="preserve">If any series of preferred stock underlying the depositary shares may be converted or exchanged, each record holder of depositary receipts will have the right or obligation to convert or exchange the depositary shares represented by the depositary receipts. </w:t>
      </w:r>
    </w:p>
    <w:p>
      <w:pPr>
        <w:pStyle w:val="TextBody"/>
        <w:bidi w:val="0"/>
        <w:spacing w:before="240" w:after="0"/>
        <w:jc w:val="left"/>
        <w:rPr>
          <w:rFonts w:ascii="Times New Roman" w:hAnsi="Times New Roman"/>
          <w:sz w:val="20"/>
        </w:rPr>
      </w:pPr>
      <w:r>
        <w:rPr>
          <w:rFonts w:ascii="Times New Roman" w:hAnsi="Times New Roman"/>
          <w:sz w:val="20"/>
        </w:rPr>
        <w:t xml:space="preserve">Whenever we redeem shares of preferred stock held by the depositary, the depositary will redeem, at the same time, the number of depositary shares representing the preferred stock. The depositary will redeem the depositary shares from the proceeds it receives from the corresponding redemption, in whole or in part, of the applicable series of preferred stock. The depositary will mail a notice of redemption to the record holders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depositary shares that are to be redeemed between 30 and 60 days before the date fixed for redemption. The redemption price per depositary share will be equal to the applicable fraction of the redemption price per share on the applicable series of preferred stock. If less than all the depositary shares are to be redeemed, the depositary will select which shares to be redeemed by lot, proportionate allocation or another method. </w:t>
      </w:r>
    </w:p>
    <w:p>
      <w:pPr>
        <w:pStyle w:val="TextBody"/>
        <w:bidi w:val="0"/>
        <w:spacing w:before="240" w:after="0"/>
        <w:jc w:val="left"/>
        <w:rPr>
          <w:rFonts w:ascii="Times New Roman" w:hAnsi="Times New Roman"/>
          <w:sz w:val="20"/>
        </w:rPr>
      </w:pPr>
      <w:r>
        <w:rPr>
          <w:rFonts w:ascii="Times New Roman" w:hAnsi="Times New Roman"/>
          <w:sz w:val="20"/>
        </w:rPr>
        <w:t xml:space="preserve">After the date fixed for redemption, the depositary shares called for redemption will no longer be outstanding. When the depositary shares are no longer outstanding, all rights of the holders will end, except the right to receive money, securities or other property payable upon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When the depositary receives notice of a meeting at which the holders of the preferred stock are entitled to vote, the depositary will mail the particulars of the meeting to the record holders of the depositary shares. Each record holder of depositary shares on the record date may instruct the depositary on how to vote the shares of preferred stock underlying the holder’s depositary shares. The depositary will try, if practical, to vote the number of shares of preferred stock underlying the depositary shares according to the instructions. The depositary will abstain from voting shares of the preferred stock to the extent it does not receive specific instructions from the holders of depositary shares representing such preferred stock. We will agree to take all reasonable action requested by the depositary to enable it to vote as instructed.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Record Date </w:t>
      </w:r>
    </w:p>
    <w:p>
      <w:pPr>
        <w:pStyle w:val="TextBody"/>
        <w:bidi w:val="0"/>
        <w:spacing w:before="120" w:after="0"/>
        <w:jc w:val="left"/>
        <w:rPr>
          <w:rFonts w:ascii="Times New Roman" w:hAnsi="Times New Roman"/>
          <w:sz w:val="20"/>
        </w:rPr>
      </w:pPr>
      <w:r>
        <w:rPr>
          <w:rFonts w:ascii="Times New Roman" w:hAnsi="Times New Roman"/>
          <w:sz w:val="20"/>
        </w:rPr>
        <w:t xml:space="preserve">Whenever (1) any cash dividend or other cash distribution will become payable, any distribution other than cash will be made, or any rights, preferences or privileges will be offered with respect to the preferred stock, or (2) the depositary receives notice of any meeting at which holders of preferred stock are entitled to vote or of which holders of preferred stock are entitled to notice, or of the mandatory conversion of or any election on our part to call for the redemption of any preferred stock, the depositary will in each instance fix a record date (which will be the same as the record date for the preferred stock) for the determination of the holders of depositary receipts (x) who will be entitled to receive such dividend, distribution, rights, preferences or privileges or the net proceeds of the sale thereof or (y) who will be entitled to give instructions for the exercise of voting rights at any such meeting or to receive notice of such meeting or of such redemption or conversion, subject to the provisions of the deposit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Amendments </w:t>
      </w:r>
    </w:p>
    <w:p>
      <w:pPr>
        <w:pStyle w:val="TextBody"/>
        <w:bidi w:val="0"/>
        <w:spacing w:before="120" w:after="0"/>
        <w:jc w:val="left"/>
        <w:rPr>
          <w:rFonts w:ascii="Times New Roman" w:hAnsi="Times New Roman"/>
          <w:sz w:val="20"/>
        </w:rPr>
      </w:pPr>
      <w:r>
        <w:rPr>
          <w:rFonts w:ascii="Times New Roman" w:hAnsi="Times New Roman"/>
          <w:sz w:val="20"/>
        </w:rPr>
        <w:t xml:space="preserve">We and the depositary may agree to amend the deposit agreement and the depositary receipt evidencing the depositary shares. Any amendment that (1) imposes or increases certain fees, taxes or other charges payable by the holders of the depositary shares as described in the deposit agreement or (2) otherwise prejudices any substantial existing right of holders of depositary shares, will not take effect until 30 days after the depositary has mailed notice of the amendment to the record holders of depositary shares. Any holder of depositary shares that continues to hold its shares at the end of the 30-day period will be deemed to have agreed to the amendment.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We may direct the depositary to terminate the deposit agreement by mailing a notice of termination to holders of depositary shares at least 30 days before termination. In addition, a deposit agreement will automatically terminate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has redeemed all related outstanding depositary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liquidated, terminated or wound up our business and the depositary has distributed the preferred stock of the relevant series to the holders of the related depositary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depositary may likewise terminate the deposit agreement if at any time 60 days have expired after the depositary has delivered to us a written notice of its election to resign and a successor depositary has not been appointed and accepted its appointment. If any depositary receipts remain outstanding after the date of termination, the depositary thereafter will discontinue the transfer of depositary receipts, will suspend the distribution of dividends to the holders thereof, and will not give any further notices (other than notice of such termination) or perform any further acts under the deposit agreement except as provided below and except that the depositary will continue (1) to collect dividends on the preferred stock and any other distributions with respect thereto and (2) to deliver the preferred stock together with such dividends and distributions and the net proceeds of any sales of rights, preferences, privileges or other property, without liability for interest thereon, in exchange for depositary receipts surrendered. At any time after the expiration of two years from the date of termination, the depositary may sell the preferred stock then held by it at public or private sales, at such place or places and upon such terms as it deems proper and may thereafter hold the net proceeds of any such sale, together with any money and other property then held by it, without liability for interest thereon, for the pro rata benefit of the holders of depositary receipts that have not been surrendered.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 of 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fees, charges and expenses of the depositary, including the initial deposit of the preferred stock and any redemption of the preferred stock. Holders of depositary shares will pay transfer and other taxes and governmental charges and any other charges as are stated in the deposit agreement for their accounts.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Resignation and Removal of Depositary </w:t>
      </w:r>
    </w:p>
    <w:p>
      <w:pPr>
        <w:pStyle w:val="TextBody"/>
        <w:bidi w:val="0"/>
        <w:spacing w:before="120" w:after="0"/>
        <w:jc w:val="left"/>
        <w:rPr>
          <w:rFonts w:ascii="Times New Roman" w:hAnsi="Times New Roman"/>
          <w:sz w:val="20"/>
        </w:rPr>
      </w:pPr>
      <w:r>
        <w:rPr>
          <w:rFonts w:ascii="Times New Roman" w:hAnsi="Times New Roman"/>
          <w:sz w:val="20"/>
        </w:rPr>
        <w:t xml:space="preserve">At any time, the depositary may resign by delivering notice to us, and we may remove the depositary. Resignations or removals will take effect upon the appointment of a successor depositary and its acceptance of the appointment. The successor depositary must be appointed within 60 days after delivery of the notice of resignation or removal and must be a bank or trust company having its principal office in the United States and having a combined capital and surplus of at least $50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Reports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forward to the holders of depositary shares all reports and communications from us that are delivered to the depositary and that we are required by law, the rules of an applicable securities exchange or our articles of incorporation to furnish to the holders of the preferred stock. Neither we nor the depositary will be liable if the depositary is prevented or delayed by law or any circumstances beyond its control in performing its obligations under the deposit agreement. The deposit agreement limits our obligations and the depositary’s obligations to performance in good faith of the duties stated in the deposit agreement. Neither we nor the depositary will be obligated to prosecute or defend any legal proceeding connected with any depositary shares or preferred stock unless the holders of depositary shares requesting us to do so furnish us with satisfactory indemnity. . In performing our obligations, we and the depositary may rely upon the written advice of our counsel or accountants, on any information that competent people provide to us and on documents that we believe are genuine.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75664_10"/>
      <w:bookmarkEnd w:id="12"/>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have summarized below general terms and conditions of the debt securities that we will offer and sell pursuant to this prospectus. When we offer to sell a particular series of debt securities, we will describe the specific terms and conditions of the series in a prospectus supplement to this prospectus. We will also indicate in the applicable prospectus supplement whether the general terms and conditions described in this prospectus apply to the series of debt securities. The terms and conditions of the debt securities of a series may be different in one or more respects from the terms and conditions described below. If so, those differences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in one or more series under either a senior indenture or a subordinated indenture, in each case between us and a trustee as identified in the applicable prospectus supplement. The following description of provisions of the indentures does not purport to be complete and is subject to, and qualified in its entirety by reference to, the indentures, each of which has been filed with the SEC as an exhibit to the registration statement of which this prospectus forms a part. A form of each debt security, any future supplemental indenture or similar document also will be so filed. You should read the indentures and any supplemental indenture or similar document because they, and not this description, define your rights as holder of our debt securities. All capitalized terms have the meanings specified in the indentures.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of this prospectus, references to “Corporation,” “we,” “us” and “our” are to First Merchants Corporation and not to any of its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from time to time, debt securities, in one or more series, which will consist of either senior debt (“Senior Debt Securities”) or subordinated debt (“Subordinated Debt Securities”). Debt securities, whether senior or subordinated, may be issued as convertible debt securities or exchangeable debt securities. Senior Debt Securities will be issued under an indenture, referred to as the “senior indenture,” between us and a senior indenture trustee to be named in the applicable prospectus supplement. Subordinated Debt Securities will be issued under a separate indenture, referred to as the “subordinated indenture,” between us and a subordinated indenture trustee to be named in the applicable prospectus supplement. The senior indenture and the subordinated indenture are sometimes collectively referred to in this prospectus as the “indentures.” The indentures will be subject to and governed by the Trust Indenture Act of 1939. A form of each of these indentures is included as an exhibit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briefly describes the general terms and provisions of the debt securities which may be offered and the indentures governing them. The particular terms of the debt securities offered, and the extent, if any, to which these general provisions may apply to the debt securities so offered, will be described in more detail in the applicable prospectus supplement relating to those securities. The following descriptions of the indentures are not complete and are subject to, and are qualified in their entirety by reference to, all the provisions of the respective indentures. </w:t>
      </w:r>
    </w:p>
    <w:p>
      <w:pPr>
        <w:pStyle w:val="TextBody"/>
        <w:bidi w:val="0"/>
        <w:spacing w:before="240" w:after="0"/>
        <w:jc w:val="left"/>
        <w:rPr>
          <w:rFonts w:ascii="Times New Roman" w:hAnsi="Times New Roman"/>
          <w:sz w:val="20"/>
        </w:rPr>
      </w:pPr>
      <w:r>
        <w:rPr>
          <w:rFonts w:ascii="Times New Roman" w:hAnsi="Times New Roman"/>
          <w:sz w:val="20"/>
        </w:rPr>
        <w:t xml:space="preserve">Unless we give you different information in the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Neither indenture limits the amount of debt securities that we may issue. We may, without the consent of the holders of the debt securities of any series, issue additional debt securities ranking equally with, and otherwise similar in all respects to, the debt securities of the series (except for any differences in the issue price and, if applicable, the initial interest accrual date and interest payment date) so that those additional debt securities will be consolidated and form a single series with the debt securities of the series previously offered and sold;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that if the additional debt securities are not fungible with the debt securities of the series previously offered or sold for U.S. federal income tax purposes, the additional debt securities will have a separate CUSIP or other identifying number.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provide that we may issue debt securities up to the principal amount that we may authorize and may be in any currency or currency unit designated by us. Except for the limitations on consolidation, merger and sale of all or substantially all of our assets contained in the indentures, the terms of the indentures do not contain any covenants or other provisions designed to afford holders of any debt securities protection with respect to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indentures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because of interest payment and other characteristics. Special U.S. federal income tax considerations applicable to debt securities issued with original issue discount will be described in more detail in any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of the Indentures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prospectus supplement for a series of debt securities that we issue will describe, among other things, the following terms of the offered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expressed as a percentage of the aggregate principal amount of the debt securities being issued,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of the debt securities and any limit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when principal payments are due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rate(s) on the debt securities, which may be fixed or variable, per annum or otherwise, and the method used to determine the rate(s), the dates on which interest will begin to accrue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of payment of principal or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place(s) where principal of, premium and interest on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governing redemption of the debt securities, including any redemption or purchase requirements pursuant to any sinking fund or analogous provisions or at the option of a holder of debt securities, and the redemption price and other detailed terms and provisions of such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minimum denominations of $1,000 and any integral multiple in excess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the principal of the debt securities payable upon declaration of acceleration of the maturity date, if other than the entire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provisions under the indenture governing legal defeasance or covenant defeasance shall apply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we will pay Additional Amounts in respect of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the conversion of our debt securities into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or modified events of default from those in the indenture and any change in the acceleration provisions described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or modified covenants from those in the indenture with respect to the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certain U.S. federal income tax considerations for holders of any debt securities and the securities exchange or quotation system on which any debt securities are listed or quoted, if any.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issued by us will be structurally subordinated to all indebtedness and other liabilities of our subsidiaries, except to the extent any such subsidiary guarantees or is otherwise obligated to make payment on such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may be convertible into or exchangeable for other securities or property of ours. The terms and conditions of conversion or exchange will be set forth in the applicable prospectus supplement. The terms will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or exchange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or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regarding our ability or the ability of the holder to convert or exchange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requiring adjustment to the conversion or exchange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affecting conversion or exchange in the event of our redemption of the debt securities.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we may not consolidate with or merge with or into, or sell or convey all or substantially all of our assets to any person, firm or corporation,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corporation (if not us) is a corporation organized and validly existing under the laws of any United States domestic jurisdiction and expressly assumes, by a supplemental indenture, our obligations on the debt securities and under such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 we, or the successor corporation, are not in default in the performance of any covenant or condition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complied with our obligations to deliver certain documentation to the applicable trustee, including an officers’ certificate and opinion of counsel each stating that such proposed transaction and any supplemental indenture comply with such indenture.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For any series of debt securities, in addition to any event of default described in the prospectus supplement applicable to that series, an event of default will include the following events: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when due of principal of any debt security of that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when due of any sinking or analogous fund payment in respect of any debt security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when due of any interest on any debt securities of that series, and continuance of such default for a period of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agreement in the indenture that applies to such series, which default continues for a period of 90 days after we have received written notice of the failure to perform in the manner specified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involving us or our material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in the applicable resolution of our board of directors or the officer’s certificate or supplemental indenture under which we issue such series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event of default for a particular series of debt securities does not necessarily constitute an event of default for any other series of debt securities issued under the indentures.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any outstanding debt securities occurs and is continuing, then the trustee or the holders of at least 25% in aggregate principal amount of the outstanding debt securities of that series may, by written notice to us (and to the trustee if given by the holders), accelerate the payment of the principal (or, if the debt securities of that series are discount securities, that portion of the principal amount as may be specified in the terms of that series) on all debt securities of that series. Following acceleration, payments on our subordinated debt securities, if any, will be subject to the subordination provisions described above under “Subordinated Debt Securities.” At any time after acceleration with respect to debt securities of any series, but before the trustee has obtained a court judgment or decree for payment of the amounts due, the holders of a majority in principal amount of the outstanding debt securities of that series may rescind and annul the acceleration of all events of default. The prospectus supplement relating to any series of debt securities that are discount securities will contain particular provisions relating to acceleration of a portion of the principal amount of such discount securities upon the occurrence of an event of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Obligations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the trustee will be under no obligation to exercise any rights or powers under such indenture at the request of any holder of outstanding debt securities unless the trustee is indemnified against any costs, liability or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Remedies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rights of the trustee,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may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 has previously given written notice to the trustee of a continuing event of default with respect to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aggregate principal amount of the outstanding debt securities of that series have made written request to the trustee to institute proceedings in respect of such event of default in its own name as trustee under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 or holders have offered to the trustee indemnity against the costs, expenses and liabilities to be incurred in complying with such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for 60 days after its receipt of such notice, request, and offer of indemnity has failed to institute any such proceeding;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no direction inconsistent with such written request has been given to the trustee during such 60-day period by the holders of a majority in aggregate principal amount of the outstanding debt securities of that series.</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holder of any debt security will have an absolute and unconditional right to receive payment of the principal of, premium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Under the indentures, we must furnish the trustee a statement as to compliance with such indenture within 120 days after the end of our fiscal year (beginning with the fiscal year ending immediately following the execution of such indenture). The indentures provide that, other than with respect to payment defaults, the trustee may withhold notice to the holders of debt securities of any series of a default or event of default if it in good faith determines that withholding notice is in the interests of the holders of those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Registered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debt securities of a series in whole or in part in the form of one or more fully registered global securities that we will deposit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it is exchanged in whole or in part for debt securities in definitive registered form, a registered global security may not be transferred except as a whole: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the depositary for such registered global security to its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 nominee of the depositary to the depositary or another nominee of the depositary,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the depositary or its nominee to a successor of the depositary or a nominee of the successor.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series of debt securities will describe the specific terms of the depositary arrangement with respect to any portion of such series represented by a registered global security. We anticipate that the following provisions will apply to all depositary arrangements for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beneficial interests in a registered global security will be limited to persons that have accounts with the depositary for the registered global security, those persons being referred to as “participants,” or persons that may hold interests through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dealers, underwriters, or agents participating in the distribution of the debt securities will designate the accounts to be credited;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any beneficial interest in the registered global security will be shown on, and the transfer of any ownership interest will be effected only through, records maintained by the depositary for the registered global security (with respect to interests of participants) and on the records of participants (with respect to interests of persons holding through participants).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laws of some states may require that certain purchasers of securities take physical delivery of the securities in definitive form. These laws may limit the ability of those persons to own, transfer or pledge beneficial interests in registered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for a registered global security, or its nominee, is the registered owner of the registered global security, the depositary or the nominee, as the case may be, will be considered the sole owner or holder of the debt securities represented by the registered global security for all purposes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below, owners of beneficial interests in a registered global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entitled to have the debt securities represented by a registered global security registered in their names;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receive or be entitled to receive physical delivery of the debt securities in the definitive 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considered the owners or holders of the debt securities under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those participants would authorize beneficial owners owning through those participants to give or take the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None of us, the trustee or any other agent of us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debt securities represented by a registered global security is at any time unwilling or unable to continue as depositary or ceases to be a clearing agency registered under the Exchange Act, we will appoint an eligible successor depositary. If we fail to appoint an eligible successor depositary, we will issue the debt securities in definitive form in exchange for the registered global security. In addition, we may at any time and in our sole discretion decide not to have any of the debt securities of a series represented by one or more registered global securities. In such event, we will issue debt securities of that series in a definitive form in exchange for all of the registered global securities representing the debt securities. The trustee will register any debt securities issued in definitive form in exchange for a registered global security in such name or names as the depositary, based upon instructions from its participants, instructed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Defeasance of Debt Securities and Certain Covenants in Certain Circumstances </w:t>
      </w:r>
    </w:p>
    <w:p>
      <w:pPr>
        <w:pStyle w:val="TextBody"/>
        <w:bidi w:val="0"/>
        <w:spacing w:before="120" w:after="0"/>
        <w:jc w:val="left"/>
        <w:rPr>
          <w:rFonts w:ascii="Times New Roman" w:hAnsi="Times New Roman"/>
          <w:b/>
          <w:sz w:val="20"/>
        </w:rPr>
      </w:pPr>
      <w:r>
        <w:rPr>
          <w:rFonts w:ascii="Times New Roman" w:hAnsi="Times New Roman"/>
          <w:b/>
          <w:sz w:val="20"/>
          <w:u w:val="single"/>
        </w:rPr>
        <w:t>Legal Defeasance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may deposit with the trustee, in trust, cash or U.S. government securities in an amount that, through the payment of interest and principal in accordance with their terms, will provide, not later than one day before the due date of any payment of money, an amount in cash that is sufficient to make all payments of principal and interest on, and any mandatory sinking fund payments in respect of, the debt securities of that series on the due dates for such payments in accordance with the terms of the indenture and those debt securities. If we make such a deposit, unless otherwise provided under the applicable series of debt securities, we will be discharged from any and all obligations in respect of the debt securities of such series (except for obligations relating to the transfer or exchange of debt securities and the replacement of stolen, lost or mutilated debt securities and relating to maintaining paying agencies and the treatment of funds held by paying agents and certain rights of the trustee and our obligations with respect thereto). However, this discharge may occur only if, among other things, we have delivered to the trustee a legal opinion stating that we have received from, or there has been published by, the U.S. Internal Revenue Service a ruling or, since the date of execution of the indenture, there has been a change in the applicable U.S. federal income tax law, in either case to the effect that, and, based thereon confirming that, the holders of the debt securities of that series will not recognize income, gain or loss for U.S. federal income tax purposes as a result of such defeasance and will be subject to U.S. federal income tax on the same amounts and in the same manner and at the same times as would have been the case if such defeasance had not occurred. </w:t>
      </w:r>
    </w:p>
    <w:p>
      <w:pPr>
        <w:pStyle w:val="TextBody"/>
        <w:bidi w:val="0"/>
        <w:spacing w:before="360" w:after="0"/>
        <w:jc w:val="left"/>
        <w:rPr>
          <w:rFonts w:ascii="Times New Roman" w:hAnsi="Times New Roman"/>
          <w:b/>
          <w:sz w:val="20"/>
        </w:rPr>
      </w:pPr>
      <w:r>
        <w:rPr>
          <w:rFonts w:ascii="Times New Roman" w:hAnsi="Times New Roman"/>
          <w:b/>
          <w:sz w:val="20"/>
          <w:u w:val="single"/>
        </w:rPr>
        <w:t>Defeasance of Certain Covenants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Under the indentures (and unless otherwise provided by the terms of the applicable series of debt securities), upon making the deposit and delivering the legal opinion described in “Legal Defeasance” above, we will not </w:t>
      </w:r>
    </w:p>
    <w:p>
      <w:pPr>
        <w:pStyle w:val="TextBody"/>
        <w:bidi w:val="0"/>
        <w:spacing w:before="240" w:after="0"/>
        <w:jc w:val="left"/>
        <w:rPr>
          <w:rFonts w:ascii="Times New Roman" w:hAnsi="Times New Roman"/>
          <w:sz w:val="20"/>
        </w:rPr>
      </w:pPr>
      <w:r>
        <w:rPr>
          <w:rFonts w:ascii="Times New Roman" w:hAnsi="Times New Roman"/>
          <w:sz w:val="20"/>
        </w:rPr>
        <w:t xml:space="preserve">need to comply with certain covenants set forth in the indentures, as well as any additional covenants that may be set forth in the applicable prospectus supplement, and any such noncompliance will not constitute a default or an event of default with respect to the debt securities of that series, or covenant defeasance. </w:t>
      </w:r>
    </w:p>
    <w:p>
      <w:pPr>
        <w:pStyle w:val="TextBody"/>
        <w:bidi w:val="0"/>
        <w:spacing w:before="360" w:after="0"/>
        <w:jc w:val="left"/>
        <w:rPr>
          <w:rFonts w:ascii="Times New Roman" w:hAnsi="Times New Roman"/>
          <w:b/>
          <w:sz w:val="20"/>
        </w:rPr>
      </w:pPr>
      <w:r>
        <w:rPr>
          <w:rFonts w:ascii="Times New Roman" w:hAnsi="Times New Roman"/>
          <w:b/>
          <w:sz w:val="20"/>
          <w:u w:val="single"/>
        </w:rPr>
        <w:t>Covenant Defeasance and Events of Default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we exercise our option to effect covenant defeasance with respect to any series of debt securities and the debt securities of that series are declared due and payable because of the occurrence of any event of default, the amounts on deposit with the trustee will be sufficient to pay amounts due on the debt securities of that series at the time of their stated maturity but may not be sufficient to pay amounts due on the debt securities of that series at the time of the acceleration resulting from the event of default. We will remain liable for those payments.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We may discharge our obligations under either indenture and the debt securities of a series (except for certain surviving rights of the trustee and our obligations in connection therewith) if: (a) all outstanding debt securities of that series and all other outstanding debt securities issued under such indenture (i) have been delivered for cancellation, or (ii) (1) have become due and payable, (2) will become due and payable at their stated maturity within one year or (3) are to be called for redemption within one year under arrangements satisfactory to the trustee for the giving of notice and redemption by the trustee (and in the case of clauses (1), (2) and (3), we have deposited with the trustee an amount sufficient to pay and discharge the principal of (and premium, if any), and interest on all outstanding debt securities and any other sums due on the stated maturity date or redemption date, as the case may be); (b) we have paid all other sums payable by us under such indenture; and (c) we have delivered an officers’ certificate and opinion of counsel confirming compliance with all conditions precedent relating to the satisfaction and discharge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Amendments to the Indentures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we and the trustee may enter into supplemental indentures without the consent of the holders of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 corporation to the Corporation, or successive successors, as obligor under the indenture and the assumption by any such successor of the covenants, agreements and obligations of the Corporation in the indenture and in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of the Corporation such further covenants, restrictions, conditions or provisions as its board of directors consider to be for the protection of the holders of the debt securities and to make the occurrence, or the occurrence and continuance, of a default in any of such additional covenants, restrictions, conditions or provisions an event of default permitting the enforcement of all or any of the several remedies provided in the indenture, with such period of grace, if any, and subject to such conditions as such supplemental indenture may provide;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any series of debt securities and the form or terms of the debt securities of a series, including, without limitation, subordination provisions and any conversion or exchange provisions applicable to the debt securities that are convertible into or exchangeable for other securities or property and any deletions from or additions or changes to the indenture in connection therewith;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additional events of default with respect to all or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the indenture to such extent as will be necessary to permit or facilitate the defeasance, covenant defeasance and/or satisfaction and discharge of any series of outstanding debt securities, provided that any such action will not adversely affect the interests of any holder of an outstanding debt security of such series or any other security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series of debt securities that are convertible into or exchangeable for commodities or for the securities of the Corporation, to safeguard or provide for the conversion or exchange rights, as the case may be, of such debt securities in the event of any reclassification or change of outstanding securities or any merger, consolidation, statutory share exchange or combination of the Corporation with or into another person or any sale, lease, assignment, transfer, disposition or other conveyance of all or substantially all of the properties and assets of the Corporation to any other person or other similar transactions, in accordance with the terms of the indentures or if expressly required by the terms of such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or restrictions on issue, authentication and delivery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modify, eliminate or add to the provisions of the indenture to such extent as is necessary to effect the qualification of the indenture under the Trust Indenture Act of 1939, or under any similar federal statute hereafter enacted, and to add to the indenture such other provisions as may be expressly permitted by the Trust Indenture Act of 1939, excluding certain provisions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modify, eliminate or add to the provisions of the indenture, if the change or elimination (i) becomes effective only when there are no debt securities outstanding of any series created prior to execution of such supplemental indenture that is entitled to the benefit of such provision or (ii) will not apply to the any debt securities outstanding at the time of such change or elimination;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conform the indenture or the debt securities to the description thereof in the related prospectus, offering memorandum or disclosure document (as provided in an officers’ certificate delivered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or to correct or supplement any provision in the indenture or in any supplemental indenture that may be defective or inconsistent with any other provision contained in the indenture or supplemental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or to secure, any series of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and appointment by a successor trustee or facilitate the administration of the trust under the indenture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of any series issued under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indenture also provides that we and the trustee may, with the consent of the holders of not less than a majority in aggregate principal amount of the outstanding debt securities of all series of Senior Debt Securities or Subordinated Debt Securities, as the case may be, then outstanding and affected thereby (voting as one class), add any provisions to, or change in any manner, eliminate in any way the provisions of, the indenture or supplemental indenture or modify in any manner the rights of the holders of the debt securities. We and the trustee may not, however, without the consent of the holder of each outstanding debt security affected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 the fixed maturities of any outstanding debt securities or reduce the principal amount or premium, if any, or reduce the rate or extend the time of payment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aggregate principal amount of the outstanding debt securities, the consent of whose holders is required to amend or supplement the indenture or any supplemental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the subordination provisions in a manner adverse to the holders of such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provisions of the indenture to remove any of the limitations in this paragraph upon us or the trustee.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limit the right of the trustee, should it become a creditor of ours, to obtain payment of claims or secure its claims. The trustee is permitted to engage in certain other transactions. However, if the trustee acquires any conflicting interest, and there is a default under the debt securities of any series for which it is trustee, the trustee must eliminate the conflict or resign.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Individual Liability of Directors, Officers, Employees or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none of our incorporators, directors, officers, employees, stockholders or agents will have any liability for any of our obligations under the debt securities or the indentures or for any claim based on, in respect of or by reason of such obligations or their creation. Each holder of debt securities by accepting a debt security waives and releases all such liability. The waiver and release will be part of the consideration for the issue of the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75664_11"/>
      <w:bookmarkEnd w:id="13"/>
      <w:r>
        <w:rPr>
          <w:rFonts w:ascii="Times New Roman" w:hAnsi="Times New Roman"/>
          <w:b/>
          <w:sz w:val="20"/>
        </w:rPr>
        <w:t xml:space="preserve">DESCRIPTION OF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purchase contracts, including contracts obligating holders to purchase from, or to sell to, us, and obligating us to sell to, or to purchase from, the holders, a specified number of shares of our common stock, preferred stock or depositary shares at a future date or dates. The price per share of common stock, preferred stock or depositary shares and the number of shares of each may be fixed at the time the purchase contracts are issued or may be determined by reference to a specific formula set forth in the purchase contracts. The applicable prospectus supplement will describe the terms of the purchase contracts, including, if applicable, collateral or depositary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75664_12"/>
      <w:bookmarkEnd w:id="14"/>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sell any combination of one or more of the other securities described in this prospectus, together as units. In a prospectus supplement, we will describe the particular combination of securities constituting any units and any other specific terms of the units. </w:t>
      </w:r>
    </w:p>
    <w:p>
      <w:pPr>
        <w:pStyle w:val="TextBody"/>
        <w:bidi w:val="0"/>
        <w:spacing w:before="480" w:after="0"/>
        <w:jc w:val="center"/>
        <w:rPr>
          <w:rFonts w:ascii="Times New Roman" w:hAnsi="Times New Roman"/>
          <w:b/>
          <w:sz w:val="20"/>
        </w:rPr>
      </w:pPr>
      <w:bookmarkStart w:id="15" w:name="tx175664_13"/>
      <w:bookmarkEnd w:id="15"/>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from the sale of the securities offered hereby. Unless otherwise specified in the applicable prospectus supplement, we expect to use the net proceeds of our sale of securities for general corporate purposes. General corporate purposes may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repayment of existing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credit to, funding investments in, or making contributions to the capital of our bank subsidiary to support its lending, investing and other financial services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repurchase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enhancing our digital presence;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credit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diversification into other banking-related businesses;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funding acquisitions of other institutions, branches, financial institutions, or business that are related to banking if opportunities for such transactions become available.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precise amounts and the timing of our use of the net proceeds will depend upon market conditions, our bank subsidiary’s funding requirements, the availability of other funds, and other factors. Pending such use for general corporate purposes, we may temporarily invest the net proceeds in short-term securities or reduce our short-term indebtedness, or we may hold the net proceeds in deposit accounts in our subsidiary bank. We expect that we will, on a recurrent basis, engage in additional financings as the need arises to finance our corporate strategies, to fund our subsidiaries, to finance acquisitions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an offering of any security may identify different or additional uses for the proceeds of that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75664_14"/>
      <w:bookmarkEnd w:id="16"/>
      <w:r>
        <w:rPr>
          <w:rFonts w:ascii="Times New Roman" w:hAnsi="Times New Roman"/>
          <w:b/>
          <w:sz w:val="20"/>
        </w:rPr>
        <w:t xml:space="preserve">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Selling security holders are persons or entities that, directly or indirectly, have acquired or will from time to time acquire from us, our securities in various private transactions. Such selling security holders may be parties to registration rights agreements with us, or we otherwise may have agreed or will agree to register their securities for resale. The initial purchasers of our securities, as well as their transferees, pledgees, donees or successors, all of whom we refer to as “selling security holders,” may from time to time offer and sell the securities pursuant to this prospectus and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the name of each selling security holder and the number of and type of securities beneficially owned by such selling security holder that are covered by such prospectus supplement. The applicable prospectus supplement also will disclose whether any of the selling security holders have held any position or office with, have been employed by or otherwise have had a material relationship with us during the three years prior to the date of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75664_15"/>
      <w:bookmarkEnd w:id="1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and/or any selling security holder may sell common stock, preferred stock, depositary shares, debt securities, purchase contracts or units in one or more of the following ways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other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“at the market” offerings, within the meaning of Rule 415(a)(4) under the Securities Act of 1933, as amended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underwriters, dealers, or agents will be identified, and the purchase price of the securities, the proceeds to us from the sale, any underwriting discounts and commissions, agency fees, discounts or concessions allowed or reallowed to dealers, and other items constituting underwriters’ or agents’ compensation, any initial public offering price, and any securities exchanges on which the securities are listed, will be described in the applicable prospectus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(directly or through agents) or any selling security holder may sell, and the underwriters, dealers or agents may resell, the offered securities in one or more transactions, including negotiated transactions, through underwriting syndicates represented by one or more managing underwriters or by one or more underwriters without a syndicate, at a fixed public offering price or prices, which may be changed, or at market prices prevailing at the time of sale, at prices related to prevailing market prices or at negotiated prices. If underwriters are used in the sale, the underwriters will acquire the offered securities for their own account and may resell them from time to time in one or more transactions at a fixed public offering price or at varying prices determined at the time of sale. Unless otherwise set forth in a prospectus supplement, the obligations of the underwriters to purchase any series of offered securities will be subject to certain conditions precedent, and the underwriters will be obligated to purchase all of such series of offered securities if any are purchased.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offered securities, the underwriters or agents may receive compensation from us or from purchasers of the offered securities for whom they may act as agents. The underwriters may sell offered securities to or through dealers, who may also receive compensation from purchasers of the offered securities for whom they may act as agents. Compensation may be in the form of discounts, concessions or commissions, including discounts or concessions allowed or reallowed or paid to dealers. If a dealer is used in the sale, we will sell such offered securities to the dealer, as principal. The dealer may then resell the offered securities to the public at varying prices to be determined by that dealer at the time for resale. The names of the dealers and the terms of the transaction will be set forth in the prospectus supplement relating to that transaction. Offered securities may be sold directly by us to one or more institutional purchasers, or through agents designated by us from time to time, at a fixed price or prices, which may be changed, or at varying prices determined at the time of sale. Any agent involved in the offer or sale of the offered securities in respect of which this prospectus is delivered will be named, and any commissions payable by us to such agent will be set forth, in the prospectus supplement relating to that offering. Unless otherwise indicated in such prospectus supplement, any such agent will be acting on a best-efforts basis for the period of its appointment. Underwriters, dealers and agents that participate in the distribution of the offered securities may be underwriters as defined in the Securities Act and any discounts or commissions received by them from us and any profit on the resale of the offered securities by them may be treated as underwriting discounts and commissions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underwritten offerings of the offered securities and in accordance with applicable law and industry practice, underwriters may over-allot or effect transactions that stabilize, maintain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affect the market price of the offered securities at levels above those that might otherwise prevail in the open market, including by entering stabilizing bids, effecting syndicate covering transactions or imposing penalty bids. A stabilizing bid means the placing of any bid, or the effecting of any purchase, for the purpose of pegging, fixing or maintaining the price of a security. A syndicate covering transaction means the placing of any bid on behalf of the underwriting syndicate or the effecting of any purchase to reduce a short position created in connection with the offering. A penalty bid means an arrangement that permits the managing underwriter to reclaim a selling concession from a syndicate member in connection with the offering when offered securities originally sold by the syndicate member are purchased in syndicate covering transactions. These transactions may be effected on the Nasdaq Global Select Market or otherwise. Underwriters are not required to engage in any of these activities, or to continue such activities if commenced.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make sales to or through one or more underwriters or agents in at-the-market offerings, we will do so pursuant to the terms of a distribution agreement between us and the underwriters or agents. If we engage in at-the-market sales pursuant to a distribution agreement, we will issue and sell shares of our common stock to or through one or more underwriters or agents, which may act on an agency basis or on a principal basis. During the term of any such agreement, we may sell shares on a daily basis in exchange transactions or otherwise as we agree with the underwriters or agents. The distribution agreement will provide that any shares of our common stock sold will be sold at prices related to the then prevailing market prices for our common stock. Therefore, exact figures regarding proceeds that will be raised or commissions to be paid cannot be determined at this time and will be described in a prospectus supplement. Pursuant to the terms of the distribution agreement, we also may agree to sell, and the relevant underwriters or agents may agree to solicit offers to purchase, blocks of our common stock or other securities. The terms of each such distribution agreement will be set forth in more detail in a prospectus supplement to this prospectus. If any underwriter or agent acts as principal, or broker-dealer acts as underwriter, it may engage in certain transactions that stabilize, maintain or otherwise affect the price of our securities. We will describe any such activities in the prospectus supplement relating to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We may indemnify the underwriters and agents against certain civil liabilities, including liabilities under the Securities Act, or contribute to payments they may be required to make in respect of such liabilities. Underwriters, dealers and agents may be entitled under agreements entered into with us to indemnification by us against certain civil liabilities, including liabilities under the Securities Act, or to contribution with respect to payments that the underwriters, dealers or agents may be required to make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may engage in transactions with, or perform services for, us or our affiliates in the ordinary course of their businesses. Other than our common stock, which is listed on the Nasdaq Global Select Market, each of the securities issued hereunder will be a new issue of securities, will have no prior trading market, and may or may not be listed on a national securities exchange. Any common stock sold pursuant to a prospectus supplement will be listed on the Nasdaq Global Select Market, subject to official notice of issuance. Any underwriters to whom we sell securities for public offering and sale may make a market in the securities, but such underwriters will not be obligated to do so and may discontinue any market making at any time without notice. We cannot assure you that there will be a market for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75664_16"/>
      <w:bookmarkEnd w:id="1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the validity of the securities offered hereby will be passed upon for us by Dentons Bingham Greenebaum LLP, Indianapolis, Indiana. </w:t>
      </w:r>
    </w:p>
    <w:p>
      <w:pPr>
        <w:pStyle w:val="TextBody"/>
        <w:bidi w:val="0"/>
        <w:spacing w:before="480" w:after="0"/>
        <w:jc w:val="center"/>
        <w:rPr>
          <w:rFonts w:ascii="Times New Roman" w:hAnsi="Times New Roman"/>
          <w:b/>
          <w:sz w:val="20"/>
        </w:rPr>
      </w:pPr>
      <w:bookmarkStart w:id="19" w:name="tx175664_17"/>
      <w:bookmarkEnd w:id="1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First Merchants Corporation (the “Corporation”) as of December 31, 2025 and 2024, and for each of the years in the three-year period ended December 31, 2025, and the effectiveness of the Corporation’s internal control over financial reporting as of December 31, 2025, have been audited by Forvis Mazars, LLP, independent registered public accounting firm, as set forth in their reports thereon, included in the Corporation’s Annual Report on Form 10-K for the year ended December 31, 2025, and incorporated herein by reference. Such consolidated financial statements and management’s assessment of internal control (which is included in Management’s Report on Internal Control over Financial Reporting) have been incorporated herein by reference in reliance upon such reports pertaining to such consolidated financial statements and the effectiveness of the Corporation’s internal control over financial reporting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14.</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is an estimate, subject to future contingencies, of the expenses to be incurred by the Registrant in connection with the issuance and distribution of the securities being registered: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50"/>
        <w:gridCol w:w="545"/>
        <w:gridCol w:w="140"/>
        <w:gridCol w:w="947"/>
        <w:gridCol w:w="157"/>
      </w:tblGrid>
      <w:tr>
        <w:trPr/>
        <w:tc>
          <w:tcPr>
            <w:tcW w:w="5150" w:type="dxa"/>
            <w:tcBorders/>
            <w:vAlign w:val="center"/>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5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$   (1)</w:t>
            </w:r>
          </w:p>
        </w:tc>
        <w:tc>
          <w:tcPr>
            <w:tcW w:w="157" w:type="dxa"/>
            <w:tcBorders/>
            <w:shd w:fill="CCEEFF" w:val="clear"/>
            <w:vAlign w:val="bottom"/>
          </w:tcPr>
          <w:p>
            <w:pPr>
              <w:pStyle w:val="TableContents"/>
              <w:bidi w:val="0"/>
              <w:spacing w:before="0" w:after="283"/>
              <w:jc w:val="left"/>
              <w:rPr/>
            </w:pPr>
            <w:r>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 Expenses</w:t>
            </w:r>
          </w:p>
        </w:tc>
        <w:tc>
          <w:tcPr>
            <w:tcW w:w="5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(2</w:t>
            </w:r>
          </w:p>
        </w:tc>
        <w:tc>
          <w:tcPr>
            <w:tcW w:w="157" w:type="dxa"/>
            <w:tcBorders/>
            <w:vAlign w:val="bottom"/>
          </w:tcPr>
          <w:p>
            <w:pPr>
              <w:pStyle w:val="TableContents"/>
              <w:bidi w:val="0"/>
              <w:spacing w:before="0" w:after="283"/>
              <w:jc w:val="left"/>
              <w:rPr/>
            </w:pPr>
            <w:r>
              <w:rPr/>
              <w:t>) </w:t>
            </w:r>
          </w:p>
        </w:tc>
      </w:tr>
      <w:tr>
        <w:trPr/>
        <w:tc>
          <w:tcPr>
            <w:tcW w:w="5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5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(2</w:t>
            </w:r>
          </w:p>
        </w:tc>
        <w:tc>
          <w:tcPr>
            <w:tcW w:w="157" w:type="dxa"/>
            <w:tcBorders/>
            <w:shd w:fill="CCEEFF" w:val="clear"/>
            <w:vAlign w:val="bottom"/>
          </w:tcPr>
          <w:p>
            <w:pPr>
              <w:pStyle w:val="TableContents"/>
              <w:bidi w:val="0"/>
              <w:spacing w:before="0" w:after="283"/>
              <w:jc w:val="left"/>
              <w:rPr/>
            </w:pPr>
            <w:r>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5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(2</w:t>
            </w:r>
          </w:p>
        </w:tc>
        <w:tc>
          <w:tcPr>
            <w:tcW w:w="157" w:type="dxa"/>
            <w:tcBorders/>
            <w:vAlign w:val="bottom"/>
          </w:tcPr>
          <w:p>
            <w:pPr>
              <w:pStyle w:val="TableContents"/>
              <w:bidi w:val="0"/>
              <w:spacing w:before="0" w:after="283"/>
              <w:jc w:val="left"/>
              <w:rPr/>
            </w:pPr>
            <w:r>
              <w:rPr/>
              <w:t>) </w:t>
            </w:r>
          </w:p>
        </w:tc>
      </w:tr>
      <w:tr>
        <w:trPr/>
        <w:tc>
          <w:tcPr>
            <w:tcW w:w="5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Blue Sky Fees and Expenses</w:t>
            </w:r>
          </w:p>
        </w:tc>
        <w:tc>
          <w:tcPr>
            <w:tcW w:w="5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(2</w:t>
            </w:r>
          </w:p>
        </w:tc>
        <w:tc>
          <w:tcPr>
            <w:tcW w:w="157" w:type="dxa"/>
            <w:tcBorders/>
            <w:shd w:fill="CCEEFF" w:val="clear"/>
            <w:vAlign w:val="bottom"/>
          </w:tcPr>
          <w:p>
            <w:pPr>
              <w:pStyle w:val="TableContents"/>
              <w:bidi w:val="0"/>
              <w:spacing w:before="0" w:after="283"/>
              <w:jc w:val="left"/>
              <w:rPr/>
            </w:pPr>
            <w:r>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Transfer Agent Fees and Expenses</w:t>
            </w:r>
          </w:p>
        </w:tc>
        <w:tc>
          <w:tcPr>
            <w:tcW w:w="5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(2</w:t>
            </w:r>
          </w:p>
        </w:tc>
        <w:tc>
          <w:tcPr>
            <w:tcW w:w="157" w:type="dxa"/>
            <w:tcBorders/>
            <w:vAlign w:val="bottom"/>
          </w:tcPr>
          <w:p>
            <w:pPr>
              <w:pStyle w:val="TableContents"/>
              <w:bidi w:val="0"/>
              <w:spacing w:before="0" w:after="283"/>
              <w:jc w:val="left"/>
              <w:rPr/>
            </w:pPr>
            <w:r>
              <w:rPr/>
              <w:t>) </w:t>
            </w:r>
          </w:p>
        </w:tc>
      </w:tr>
      <w:tr>
        <w:trPr/>
        <w:tc>
          <w:tcPr>
            <w:tcW w:w="5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Trustee’s and Registrar’s Fees and Expenses</w:t>
            </w:r>
          </w:p>
        </w:tc>
        <w:tc>
          <w:tcPr>
            <w:tcW w:w="5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(2</w:t>
            </w:r>
          </w:p>
        </w:tc>
        <w:tc>
          <w:tcPr>
            <w:tcW w:w="157" w:type="dxa"/>
            <w:tcBorders/>
            <w:shd w:fill="CCEEFF" w:val="clear"/>
            <w:vAlign w:val="bottom"/>
          </w:tcPr>
          <w:p>
            <w:pPr>
              <w:pStyle w:val="TableContents"/>
              <w:bidi w:val="0"/>
              <w:spacing w:before="0" w:after="283"/>
              <w:jc w:val="left"/>
              <w:rPr/>
            </w:pPr>
            <w:r>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Rating Agency Fees</w:t>
            </w:r>
          </w:p>
        </w:tc>
        <w:tc>
          <w:tcPr>
            <w:tcW w:w="5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(2</w:t>
            </w:r>
          </w:p>
        </w:tc>
        <w:tc>
          <w:tcPr>
            <w:tcW w:w="157" w:type="dxa"/>
            <w:tcBorders/>
            <w:vAlign w:val="bottom"/>
          </w:tcPr>
          <w:p>
            <w:pPr>
              <w:pStyle w:val="TableContents"/>
              <w:bidi w:val="0"/>
              <w:spacing w:before="0" w:after="283"/>
              <w:jc w:val="left"/>
              <w:rPr/>
            </w:pPr>
            <w:r>
              <w:rPr/>
              <w:t>) </w:t>
            </w:r>
          </w:p>
        </w:tc>
      </w:tr>
      <w:tr>
        <w:trPr/>
        <w:tc>
          <w:tcPr>
            <w:tcW w:w="5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5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(2</w:t>
            </w:r>
          </w:p>
        </w:tc>
        <w:tc>
          <w:tcPr>
            <w:tcW w:w="157" w:type="dxa"/>
            <w:tcBorders/>
            <w:shd w:fill="CCEEFF" w:val="clear"/>
            <w:vAlign w:val="bottom"/>
          </w:tcPr>
          <w:p>
            <w:pPr>
              <w:pStyle w:val="TableContents"/>
              <w:bidi w:val="0"/>
              <w:spacing w:before="0" w:after="283"/>
              <w:jc w:val="left"/>
              <w:rPr/>
            </w:pPr>
            <w:r>
              <w:rPr/>
              <w:t>) </w:t>
            </w:r>
          </w:p>
        </w:tc>
      </w:tr>
      <w:tr>
        <w:trPr/>
        <w:tc>
          <w:tcPr>
            <w:tcW w:w="5150"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47"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5150"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7"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Deferred in accordance with Rules 456(b) and 457(r) of the Securities Act.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will be dependent on the type and dollar amount of securities offered and number of offerings and, therefore, cannot be estimated at this time. Additional information regarding estimated fees and expenses will be provided at the time information is included in a prospectus supplement, if applicable, in accordance with Rule 430B.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15.</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the Indiana Business Corporation Law, the Registrant may indemnify directors and officers against liabilities asserted against or incurred by them while serving as such or while serving at its request as a director, officer, partner, trustee, employee or agent of another foreign or domestic corporation, partnership, joint venture, trust, employee benefit plan or other enterprise if (i) the individual’s conduct was in good faith, (ii) the individual believed (A) in the case of conduct in the individual’s official capacity, that the individual’s conduct was in the corporation’s best interests and (B) in all other cases, that the individual’s conduct was at least not opposed to the corporation’s best interests, and (iii) in the case of any criminal proceeding, the individual either (A) had reasonable cause to believe the individual’s conduct was lawful or (B) had no reasonable cause to believe the individual’s conduct was unlawful. The Registrant is required under the Indiana Business Corporation Law to indemnify a director or officer who was wholly successful, on the merits or otherwise, in the defense of any proceeding in which the director or officer was a party because the director or officer was serving the corporation in such capacity against reasonable expenses incurred in connection with the proceeding. The articles of incorporation of the Registrant require the indemnification of its directors and officers to the greatest extent permitted by the Indiana Business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The Indiana Business Corporation Law also permits the Registrant to purchase and maintain on behalf of its directors and officers insurance against liabilities asserted against or incurred by an individual in such capacity, whether or not the Registrant otherwise has the power to indemnify the individual against the same liability under the Indiana Business Corporation Law. Under a directors’ and officers’ liability insurance policy, directors and officers of the Registrant are insured against certain liabilities, including certain liabilities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Any underwriting agreement that we might enter into (Exhibit 1.1) will provide for indemnification by any underwriters of us, our directors, our officers who sign the registration statement and our controlling persons for some liabilities, including liabilities arising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16.</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8"/>
        <w:gridCol w:w="607"/>
        <w:gridCol w:w="8900"/>
      </w:tblGrid>
      <w:tr>
        <w:trPr/>
        <w:tc>
          <w:tcPr>
            <w:tcW w:w="698" w:type="dxa"/>
            <w:tcBorders/>
            <w:vAlign w:val="center"/>
          </w:tcPr>
          <w:p>
            <w:pPr>
              <w:pStyle w:val="TableContents"/>
              <w:bidi w:val="0"/>
              <w:spacing w:before="0" w:after="283"/>
              <w:jc w:val="left"/>
              <w:rPr>
                <w:sz w:val="4"/>
                <w:szCs w:val="4"/>
              </w:rPr>
            </w:pPr>
            <w:r>
              <w:rPr>
                <w:sz w:val="4"/>
                <w:szCs w:val="4"/>
              </w:rPr>
            </w:r>
          </w:p>
        </w:tc>
        <w:tc>
          <w:tcPr>
            <w:tcW w:w="607" w:type="dxa"/>
            <w:tcBorders/>
            <w:vAlign w:val="bottom"/>
          </w:tcPr>
          <w:p>
            <w:pPr>
              <w:pStyle w:val="TableContents"/>
              <w:bidi w:val="0"/>
              <w:spacing w:before="0" w:after="283"/>
              <w:jc w:val="left"/>
              <w:rPr>
                <w:sz w:val="4"/>
                <w:szCs w:val="4"/>
              </w:rPr>
            </w:pPr>
            <w:r>
              <w:rPr>
                <w:sz w:val="4"/>
                <w:szCs w:val="4"/>
              </w:rPr>
            </w:r>
          </w:p>
        </w:tc>
        <w:tc>
          <w:tcPr>
            <w:tcW w:w="8900" w:type="dxa"/>
            <w:tcBorders/>
            <w:vAlign w:val="center"/>
          </w:tcPr>
          <w:p>
            <w:pPr>
              <w:pStyle w:val="TableContents"/>
              <w:bidi w:val="0"/>
              <w:spacing w:before="0" w:after="283"/>
              <w:jc w:val="left"/>
              <w:rPr>
                <w:sz w:val="4"/>
                <w:szCs w:val="4"/>
              </w:rPr>
            </w:pPr>
            <w:r>
              <w:rPr>
                <w:sz w:val="4"/>
                <w:szCs w:val="4"/>
              </w:rPr>
            </w:r>
          </w:p>
        </w:tc>
      </w:tr>
      <w:tr>
        <w:trPr/>
        <w:tc>
          <w:tcPr>
            <w:tcW w:w="69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w:t>
            </w:r>
          </w:p>
        </w:tc>
        <w:tc>
          <w:tcPr>
            <w:tcW w:w="607" w:type="dxa"/>
            <w:tcBorders/>
            <w:vAlign w:val="bottom"/>
          </w:tcPr>
          <w:p>
            <w:pPr>
              <w:pStyle w:val="TableContents"/>
              <w:bidi w:val="0"/>
              <w:spacing w:before="0" w:after="283"/>
              <w:jc w:val="left"/>
              <w:rPr/>
            </w:pPr>
            <w:r>
              <w:rPr/>
              <w:t>  </w:t>
            </w:r>
          </w:p>
        </w:tc>
        <w:tc>
          <w:tcPr>
            <w:tcW w:w="890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 </w:t>
            </w:r>
            <w:r>
              <w:rPr/>
              <w:t>1.1*</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r>
              <w:rPr/>
              <w:t>Form of Underwriting Agreement</w:t>
            </w:r>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 </w:t>
            </w:r>
            <w:r>
              <w:rPr/>
              <w:t>3.1</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hyperlink r:id="rId22">
              <w:r>
                <w:rPr>
                  <w:rStyle w:val="InternetLink"/>
                </w:rPr>
                <w:t xml:space="preserve">First Merchants Corporation Amended  &amp; Restated Articles of Incorporation, as amended, is incorporated by reference to Exhibit 3.1 of Registrant’s Form 8-K filed May 22, 2024 (SEC File No.  000-17071) </w:t>
              </w:r>
            </w:hyperlink>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 </w:t>
            </w:r>
            <w:r>
              <w:rPr/>
              <w:t>3.2</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hyperlink r:id="rId23">
              <w:r>
                <w:rPr>
                  <w:rStyle w:val="InternetLink"/>
                </w:rPr>
                <w:t>Bylaws of First Merchants Corporation dated May  20, 2024 are incorporated by reference to Exhibit 3.2 of Registrant’s Annual Report on Form 10-K filed May 22, 2024 (SEC File No. 001-41342)</w:t>
              </w:r>
            </w:hyperlink>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 </w:t>
            </w:r>
            <w:r>
              <w:rPr/>
              <w:t>4.1</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hyperlink r:id="rId24">
              <w:r>
                <w:rPr>
                  <w:rStyle w:val="InternetLink"/>
                </w:rPr>
                <w:t xml:space="preserve">Description of the Registrant’s Securities Registered under Section  12 of the Securities Exchange Act of 1934 is incorporated by reference to Exhibit 4.7 of Registrant’s Form 10-K filed March 1, 2023) (SEC File No.  000-17071) </w:t>
              </w:r>
            </w:hyperlink>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 </w:t>
            </w:r>
            <w:r>
              <w:rPr/>
              <w:t>4.2*</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r>
              <w:rPr/>
              <w:t>Form of Amendment to Articles of Incorporation Creating New Series of Preferred Stock</w:t>
            </w:r>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 </w:t>
            </w:r>
            <w:r>
              <w:rPr/>
              <w:t>4.3*</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r>
              <w:rPr/>
              <w:t>Specimen Certificate for Preferred Stock</w:t>
            </w:r>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 </w:t>
            </w:r>
            <w:r>
              <w:rPr/>
              <w:t>4.4*</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r>
              <w:rPr/>
              <w:t>Form of Deposit Agreement, including form of Depositary Receipt</w:t>
            </w:r>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 </w:t>
            </w:r>
            <w:r>
              <w:rPr/>
              <w:t>4.5</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hyperlink w:anchor="d175664dex45.htm">
              <w:r>
                <w:rPr>
                  <w:rStyle w:val="InternetLink"/>
                </w:rPr>
                <w:t xml:space="preserve">Form of Indenture for Senior Debt </w:t>
              </w:r>
            </w:hyperlink>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 </w:t>
            </w:r>
            <w:r>
              <w:rPr/>
              <w:t>4.6*</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r>
              <w:rPr/>
              <w:t>Form of Senior Debt Securities</w:t>
            </w:r>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 </w:t>
            </w:r>
            <w:r>
              <w:rPr/>
              <w:t>4.7</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hyperlink w:anchor="d175664dex47.htm">
              <w:r>
                <w:rPr>
                  <w:rStyle w:val="InternetLink"/>
                </w:rPr>
                <w:t xml:space="preserve">Form of Indenture for Subordinated Debt </w:t>
              </w:r>
            </w:hyperlink>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 </w:t>
            </w:r>
            <w:r>
              <w:rPr/>
              <w:t>4.8*</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r>
              <w:rPr/>
              <w:t>Form of Subordinated Debt Securities</w:t>
            </w:r>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 </w:t>
            </w:r>
            <w:r>
              <w:rPr/>
              <w:t>4.9*</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r>
              <w:rPr/>
              <w:t>Form of Debt Warrant Agreement, including form of Warrant Certificate</w:t>
            </w:r>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 </w:t>
            </w:r>
            <w:r>
              <w:rPr/>
              <w:t>4.10*</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r>
              <w:rPr/>
              <w:t>Form of Preferred Stock Warrant Agreement, including form of Warrant Certificate</w:t>
            </w:r>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 </w:t>
            </w:r>
            <w:r>
              <w:rPr/>
              <w:t>4.11*</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r>
              <w:rPr/>
              <w:t>Form of Common Stock Warrant Agreement, including form of Warrant Certificate</w:t>
            </w:r>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 </w:t>
            </w:r>
            <w:r>
              <w:rPr/>
              <w:t>4.12*</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r>
              <w:rPr/>
              <w:t>Form of Unit Agreement</w:t>
            </w:r>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 </w:t>
            </w:r>
            <w:r>
              <w:rPr/>
              <w:t>4.13*</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r>
              <w:rPr/>
              <w:t>Form of Purchase Contract</w:t>
            </w:r>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 </w:t>
            </w:r>
            <w:r>
              <w:rPr/>
              <w:t>4.14*</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r>
              <w:rPr/>
              <w:t>Form of Pledge Agreement</w:t>
            </w:r>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 </w:t>
            </w:r>
            <w:r>
              <w:rPr/>
              <w:t>4.15*</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r>
              <w:rPr/>
              <w:t>Form of Remarketing Agreement</w:t>
            </w:r>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 </w:t>
            </w:r>
            <w:r>
              <w:rPr/>
              <w:t>5.1</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hyperlink w:anchor="d175664dex51.htm">
              <w:r>
                <w:rPr>
                  <w:rStyle w:val="InternetLink"/>
                </w:rPr>
                <w:t xml:space="preserve">Opinion of Dentons Bingham Greenebaum LLP as to the validity of the securities registered hereunder </w:t>
              </w:r>
            </w:hyperlink>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23.1</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hyperlink w:anchor="d175664dex231.htm">
              <w:r>
                <w:rPr>
                  <w:rStyle w:val="InternetLink"/>
                </w:rPr>
                <w:t xml:space="preserve">Consent of Forvis Mazars, LLP </w:t>
              </w:r>
            </w:hyperlink>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23.2</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hyperlink w:anchor="d175664dex51.htm">
              <w:r>
                <w:rPr>
                  <w:rStyle w:val="InternetLink"/>
                </w:rPr>
                <w:t xml:space="preserve">Consent of Dentons Bingham Greenebaum LLP (included in Exhibit 5.1) </w:t>
              </w:r>
            </w:hyperlink>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24.1</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hyperlink w:anchor="sig">
              <w:r>
                <w:rPr>
                  <w:rStyle w:val="InternetLink"/>
                </w:rPr>
                <w:t xml:space="preserve">Power of Attorney (included on the signature page hereto) </w:t>
              </w:r>
            </w:hyperlink>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25.1**</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r>
              <w:rPr/>
              <w:t>Form T-1 Statement of Eligibility of Trustee under the Senior Indenture and the Subordinated Indenture</w:t>
            </w:r>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107</w:t>
            </w:r>
          </w:p>
        </w:tc>
        <w:tc>
          <w:tcPr>
            <w:tcW w:w="607" w:type="dxa"/>
            <w:tcBorders/>
            <w:vAlign w:val="bottom"/>
          </w:tcPr>
          <w:p>
            <w:pPr>
              <w:pStyle w:val="TableContents"/>
              <w:bidi w:val="0"/>
              <w:spacing w:before="0" w:after="283"/>
              <w:jc w:val="left"/>
              <w:rPr/>
            </w:pPr>
            <w:r>
              <w:rPr/>
              <w:t>  </w:t>
            </w:r>
          </w:p>
        </w:tc>
        <w:tc>
          <w:tcPr>
            <w:tcW w:w="8900" w:type="dxa"/>
            <w:tcBorders/>
          </w:tcPr>
          <w:p>
            <w:pPr>
              <w:pStyle w:val="TableContents"/>
              <w:bidi w:val="0"/>
              <w:spacing w:before="0" w:after="283"/>
              <w:jc w:val="left"/>
              <w:rPr/>
            </w:pPr>
            <w:hyperlink w:anchor="d175664dexfilingfees.htm">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post-effective amendment to the Registration Statement or by a Current Report on Form 8-K and incorporated by reference herein.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incorporated by reference to a filing made in accordance with Section 305(b)(2) of the Trust Indenture Act of 1939, as amended.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17.</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(4) That, for the purpose of determining liability under the Securities Act of 1933 to any purchaser: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2"/>
        <w:gridCol w:w="8373"/>
      </w:tblGrid>
      <w:tr>
        <w:trPr/>
        <w:tc>
          <w:tcPr>
            <w:tcW w:w="1832" w:type="dxa"/>
            <w:tcBorders/>
            <w:vAlign w:val="center"/>
          </w:tcPr>
          <w:p>
            <w:pPr>
              <w:pStyle w:val="TableContents"/>
              <w:bidi w:val="0"/>
              <w:spacing w:before="0" w:after="283"/>
              <w:jc w:val="left"/>
              <w:rPr/>
            </w:pPr>
            <w:r>
              <w:rPr/>
              <w:t> </w:t>
            </w:r>
          </w:p>
        </w:tc>
        <w:tc>
          <w:tcPr>
            <w:tcW w:w="8373" w:type="dxa"/>
            <w:tcBorders/>
          </w:tcPr>
          <w:p>
            <w:pPr>
              <w:pStyle w:val="TableContents"/>
              <w:bidi w:val="0"/>
              <w:spacing w:before="0" w:after="283"/>
              <w:jc w:val="left"/>
              <w:rPr/>
            </w:pPr>
            <w:r>
              <w:rPr/>
              <w:t xml:space="preserve">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and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(d) 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sig"/>
      <w:bookmarkEnd w:id="20"/>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Muncie, State of Indiana, on September 17,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FIRST MERCHANTS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Mark K. Hardwick</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Mark K. Hardwick,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constitutes and appoints Mark K. Hardwick and Michele M. Kawiecki and each of them his/her true and lawful attorneys-in-fact and agents with full power of substitution and resubstitution, for him/her and in his/her name, place and stead, in any and all capacities, to sign any and all amendments (including post-effective amendments) to this Registration Statement and any subsequent registration statement filed by First Merchants Corporation pursuant to Rule 462(b) of the Securities Act of 1933, and to file the same, with all exhibits thereto, and other documents in connection therewith with the Securities and Exchange Commission, granting unto said attorney-in-fact and agents full power and authority to perform each and every act and thing requisite and necessary to be done in and about the premises, as fully and to all intents and purposes as he/she might or could do in person, hereby ratifying and confirming all that said attorneys-in-fact and agents, or his/her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as of the 17th day of September, 2026 by the following persons in the capacities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6"/>
        <w:gridCol w:w="208"/>
        <w:gridCol w:w="5311"/>
      </w:tblGrid>
      <w:tr>
        <w:trPr/>
        <w:tc>
          <w:tcPr>
            <w:tcW w:w="4686"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Mark K. Hardwick</w:t>
            </w:r>
          </w:p>
          <w:p>
            <w:pPr>
              <w:pStyle w:val="TableContents"/>
              <w:bidi w:val="0"/>
              <w:spacing w:before="0" w:after="20"/>
              <w:jc w:val="left"/>
              <w:rPr>
                <w:rFonts w:ascii="Times New Roman" w:hAnsi="Times New Roman"/>
                <w:sz w:val="20"/>
              </w:rPr>
            </w:pPr>
            <w:r>
              <w:rPr>
                <w:rFonts w:ascii="Times New Roman" w:hAnsi="Times New Roman"/>
                <w:sz w:val="20"/>
              </w:rPr>
              <w:t>Mark K. Hardwick</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Michele M. Kawiecki</w:t>
            </w:r>
          </w:p>
          <w:p>
            <w:pPr>
              <w:pStyle w:val="TableContents"/>
              <w:bidi w:val="0"/>
              <w:spacing w:before="0" w:after="20"/>
              <w:jc w:val="left"/>
              <w:rPr>
                <w:rFonts w:ascii="Times New Roman" w:hAnsi="Times New Roman"/>
                <w:sz w:val="20"/>
              </w:rPr>
            </w:pPr>
            <w:r>
              <w:rPr>
                <w:rFonts w:ascii="Times New Roman" w:hAnsi="Times New Roman"/>
                <w:sz w:val="20"/>
              </w:rPr>
              <w:t>Michele M. Kawiecki</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and 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and Accounting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Jean L. Wojtowicz</w:t>
            </w:r>
          </w:p>
          <w:p>
            <w:pPr>
              <w:pStyle w:val="TableContents"/>
              <w:bidi w:val="0"/>
              <w:spacing w:before="0" w:after="20"/>
              <w:jc w:val="left"/>
              <w:rPr>
                <w:rFonts w:ascii="Times New Roman" w:hAnsi="Times New Roman"/>
                <w:sz w:val="20"/>
              </w:rPr>
            </w:pPr>
            <w:r>
              <w:rPr>
                <w:rFonts w:ascii="Times New Roman" w:hAnsi="Times New Roman"/>
                <w:sz w:val="20"/>
              </w:rPr>
              <w:t>Jean L. Wojtowicz</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left"/>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Michael C. Rechin</w:t>
            </w:r>
          </w:p>
          <w:p>
            <w:pPr>
              <w:pStyle w:val="TableContents"/>
              <w:bidi w:val="0"/>
              <w:spacing w:before="0" w:after="20"/>
              <w:jc w:val="left"/>
              <w:rPr>
                <w:rFonts w:ascii="Times New Roman" w:hAnsi="Times New Roman"/>
                <w:sz w:val="20"/>
              </w:rPr>
            </w:pPr>
            <w:r>
              <w:rPr>
                <w:rFonts w:ascii="Times New Roman" w:hAnsi="Times New Roman"/>
                <w:sz w:val="20"/>
              </w:rPr>
              <w:t>Michael C. Rechin</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left"/>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Michael R. Becher</w:t>
            </w:r>
          </w:p>
          <w:p>
            <w:pPr>
              <w:pStyle w:val="TableContents"/>
              <w:bidi w:val="0"/>
              <w:spacing w:before="0" w:after="20"/>
              <w:jc w:val="left"/>
              <w:rPr>
                <w:rFonts w:ascii="Times New Roman" w:hAnsi="Times New Roman"/>
                <w:sz w:val="20"/>
              </w:rPr>
            </w:pPr>
            <w:r>
              <w:rPr>
                <w:rFonts w:ascii="Times New Roman" w:hAnsi="Times New Roman"/>
                <w:sz w:val="20"/>
              </w:rPr>
              <w:t>Michael R. Becher</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left"/>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Susan W. Brooks</w:t>
            </w:r>
          </w:p>
          <w:p>
            <w:pPr>
              <w:pStyle w:val="TableContents"/>
              <w:bidi w:val="0"/>
              <w:spacing w:before="0" w:after="20"/>
              <w:jc w:val="left"/>
              <w:rPr>
                <w:rFonts w:ascii="Times New Roman" w:hAnsi="Times New Roman"/>
                <w:sz w:val="20"/>
              </w:rPr>
            </w:pPr>
            <w:r>
              <w:rPr>
                <w:rFonts w:ascii="Times New Roman" w:hAnsi="Times New Roman"/>
                <w:sz w:val="20"/>
              </w:rPr>
              <w:t>Susan W. Brooks</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left"/>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Michael J. Fisher</w:t>
            </w:r>
          </w:p>
          <w:p>
            <w:pPr>
              <w:pStyle w:val="TableContents"/>
              <w:bidi w:val="0"/>
              <w:spacing w:before="0" w:after="20"/>
              <w:jc w:val="left"/>
              <w:rPr>
                <w:rFonts w:ascii="Times New Roman" w:hAnsi="Times New Roman"/>
                <w:sz w:val="20"/>
              </w:rPr>
            </w:pPr>
            <w:r>
              <w:rPr>
                <w:rFonts w:ascii="Times New Roman" w:hAnsi="Times New Roman"/>
                <w:sz w:val="20"/>
              </w:rPr>
              <w:t>Michael J. Fisher</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left"/>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F. Howard Halderman</w:t>
            </w:r>
          </w:p>
          <w:p>
            <w:pPr>
              <w:pStyle w:val="TableContents"/>
              <w:bidi w:val="0"/>
              <w:spacing w:before="0" w:after="20"/>
              <w:jc w:val="left"/>
              <w:rPr>
                <w:rFonts w:ascii="Times New Roman" w:hAnsi="Times New Roman"/>
                <w:sz w:val="20"/>
              </w:rPr>
            </w:pPr>
            <w:r>
              <w:rPr>
                <w:rFonts w:ascii="Times New Roman" w:hAnsi="Times New Roman"/>
                <w:sz w:val="20"/>
              </w:rPr>
              <w:t>F. Howard Halderman</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left"/>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Kevin D. Johnson</w:t>
            </w:r>
          </w:p>
          <w:p>
            <w:pPr>
              <w:pStyle w:val="TableContents"/>
              <w:bidi w:val="0"/>
              <w:spacing w:before="0" w:after="20"/>
              <w:jc w:val="left"/>
              <w:rPr>
                <w:rFonts w:ascii="Times New Roman" w:hAnsi="Times New Roman"/>
                <w:sz w:val="20"/>
              </w:rPr>
            </w:pPr>
            <w:r>
              <w:rPr>
                <w:rFonts w:ascii="Times New Roman" w:hAnsi="Times New Roman"/>
                <w:sz w:val="20"/>
              </w:rPr>
              <w:t>Kevin D. Johnson</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left"/>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Clark C. Kellogg</w:t>
            </w:r>
          </w:p>
          <w:p>
            <w:pPr>
              <w:pStyle w:val="TableContents"/>
              <w:bidi w:val="0"/>
              <w:spacing w:before="0" w:after="20"/>
              <w:jc w:val="left"/>
              <w:rPr>
                <w:rFonts w:ascii="Times New Roman" w:hAnsi="Times New Roman"/>
                <w:sz w:val="20"/>
              </w:rPr>
            </w:pPr>
            <w:r>
              <w:rPr>
                <w:rFonts w:ascii="Times New Roman" w:hAnsi="Times New Roman"/>
                <w:sz w:val="20"/>
              </w:rPr>
              <w:t>Clark C. Kellogg</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left"/>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Larry W. Myers</w:t>
            </w:r>
          </w:p>
          <w:p>
            <w:pPr>
              <w:pStyle w:val="TableContents"/>
              <w:bidi w:val="0"/>
              <w:spacing w:before="0" w:after="20"/>
              <w:jc w:val="left"/>
              <w:rPr>
                <w:rFonts w:ascii="Times New Roman" w:hAnsi="Times New Roman"/>
                <w:sz w:val="20"/>
              </w:rPr>
            </w:pPr>
            <w:r>
              <w:rPr>
                <w:rFonts w:ascii="Times New Roman" w:hAnsi="Times New Roman"/>
                <w:sz w:val="20"/>
              </w:rPr>
              <w:t>Larry W. Myers</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686"/>
        <w:gridCol w:w="208"/>
        <w:gridCol w:w="5311"/>
      </w:tblGrid>
      <w:tr>
        <w:trPr/>
        <w:tc>
          <w:tcPr>
            <w:tcW w:w="4686"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Jason R. Sondhi</w:t>
            </w:r>
          </w:p>
          <w:p>
            <w:pPr>
              <w:pStyle w:val="TableContents"/>
              <w:bidi w:val="0"/>
              <w:spacing w:before="0" w:after="20"/>
              <w:jc w:val="left"/>
              <w:rPr>
                <w:rFonts w:ascii="Times New Roman" w:hAnsi="Times New Roman"/>
                <w:sz w:val="20"/>
              </w:rPr>
            </w:pPr>
            <w:r>
              <w:rPr>
                <w:rFonts w:ascii="Times New Roman" w:hAnsi="Times New Roman"/>
                <w:sz w:val="20"/>
              </w:rPr>
              <w:t>Jason R. Sondhi</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left"/>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Paul Fultz</w:t>
            </w:r>
          </w:p>
          <w:p>
            <w:pPr>
              <w:pStyle w:val="TableContents"/>
              <w:bidi w:val="0"/>
              <w:spacing w:before="0" w:after="20"/>
              <w:jc w:val="left"/>
              <w:rPr>
                <w:rFonts w:ascii="Times New Roman" w:hAnsi="Times New Roman"/>
                <w:sz w:val="20"/>
              </w:rPr>
            </w:pPr>
            <w:r>
              <w:rPr>
                <w:rFonts w:ascii="Times New Roman" w:hAnsi="Times New Roman"/>
                <w:sz w:val="20"/>
              </w:rPr>
              <w:t>Paul Fultz</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21" w:name="d175664dex45.htm"/>
      <w:bookmarkStart w:id="22" w:name="ksd175664dex45"/>
      <w:bookmarkEnd w:id="21"/>
      <w:bookmarkEnd w:id="22"/>
      <w:r>
        <w:rPr>
          <w:rFonts w:ascii="Times New Roman" w:hAnsi="Times New Roman"/>
          <w:b/>
          <w:sz w:val="20"/>
        </w:rPr>
        <w:t xml:space="preserve">Exhibit 4.5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FIRST MERCHANTS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AS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AS 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 </w:t>
      </w:r>
    </w:p>
    <w:p>
      <w:pPr>
        <w:pStyle w:val="TextBody"/>
        <w:bidi w:val="0"/>
        <w:spacing w:before="240" w:after="0"/>
        <w:jc w:val="center"/>
        <w:rPr>
          <w:rFonts w:ascii="Times New Roman" w:hAnsi="Times New Roman"/>
          <w:b/>
          <w:sz w:val="20"/>
        </w:rPr>
      </w:pPr>
      <w:r>
        <w:rPr>
          <w:rFonts w:ascii="Times New Roman" w:hAnsi="Times New Roman"/>
          <w:b/>
          <w:sz w:val="20"/>
        </w:rPr>
        <w:t xml:space="preserve">SENIOR DEBT SECURITIES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CROSS-REFERENCE TABLE </w:t>
      </w:r>
    </w:p>
    <w:p>
      <w:pPr>
        <w:pStyle w:val="TextBody"/>
        <w:bidi w:val="0"/>
        <w:spacing w:before="240" w:after="0"/>
        <w:jc w:val="left"/>
        <w:rPr>
          <w:rFonts w:ascii="Times New Roman" w:hAnsi="Times New Roman"/>
          <w:sz w:val="20"/>
        </w:rPr>
      </w:pPr>
      <w:r>
        <w:rPr>
          <w:rFonts w:ascii="Times New Roman" w:hAnsi="Times New Roman"/>
          <w:sz w:val="20"/>
        </w:rPr>
        <w:t xml:space="preserve">Reconciliation and tie between the Trust Indenture Act of 1939, as amended (the “Trust Indenture Act”), and the Indenture dated as of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4"/>
        <w:gridCol w:w="120"/>
        <w:gridCol w:w="4901"/>
      </w:tblGrid>
      <w:tr>
        <w:trPr/>
        <w:tc>
          <w:tcPr>
            <w:tcW w:w="518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01" w:type="dxa"/>
            <w:tcBorders/>
            <w:vAlign w:val="center"/>
          </w:tcPr>
          <w:p>
            <w:pPr>
              <w:pStyle w:val="TableContents"/>
              <w:bidi w:val="0"/>
              <w:spacing w:before="0" w:after="283"/>
              <w:jc w:val="left"/>
              <w:rPr>
                <w:sz w:val="4"/>
                <w:szCs w:val="4"/>
              </w:rPr>
            </w:pPr>
            <w:r>
              <w:rPr>
                <w:sz w:val="4"/>
                <w:szCs w:val="4"/>
              </w:rPr>
            </w:r>
          </w:p>
        </w:tc>
      </w:tr>
      <w:tr>
        <w:trPr/>
        <w:tc>
          <w:tcPr>
            <w:tcW w:w="5184" w:type="dxa"/>
            <w:tcBorders/>
            <w:vAlign w:val="bottom"/>
          </w:tcPr>
          <w:p>
            <w:pPr>
              <w:pStyle w:val="TableContents"/>
              <w:bidi w:val="0"/>
              <w:spacing w:before="0" w:after="283"/>
              <w:jc w:val="center"/>
              <w:rPr>
                <w:b/>
              </w:rPr>
            </w:pPr>
            <w:r>
              <w:rPr>
                <w:b/>
              </w:rPr>
              <w:t>SECTION OF TRUST INDENTURE ACT</w:t>
            </w:r>
          </w:p>
        </w:tc>
        <w:tc>
          <w:tcPr>
            <w:tcW w:w="120" w:type="dxa"/>
            <w:tcBorders/>
            <w:vAlign w:val="bottom"/>
          </w:tcPr>
          <w:p>
            <w:pPr>
              <w:pStyle w:val="TableContents"/>
              <w:bidi w:val="0"/>
              <w:spacing w:before="0" w:after="283"/>
              <w:jc w:val="left"/>
              <w:rPr/>
            </w:pPr>
            <w:r>
              <w:rPr/>
              <w:t>  </w:t>
            </w:r>
          </w:p>
        </w:tc>
        <w:tc>
          <w:tcPr>
            <w:tcW w:w="4901" w:type="dxa"/>
            <w:tcBorders/>
            <w:vAlign w:val="bottom"/>
          </w:tcPr>
          <w:p>
            <w:pPr>
              <w:pStyle w:val="TableContents"/>
              <w:bidi w:val="0"/>
              <w:spacing w:before="0" w:after="283"/>
              <w:jc w:val="center"/>
              <w:rPr>
                <w:b/>
              </w:rPr>
            </w:pPr>
            <w:r>
              <w:rPr>
                <w:b/>
              </w:rPr>
              <w:t>SECTION OF INDENTURE</w:t>
            </w:r>
          </w:p>
        </w:tc>
      </w:tr>
      <w:tr>
        <w:trPr/>
        <w:tc>
          <w:tcPr>
            <w:tcW w:w="5184" w:type="dxa"/>
            <w:tcBorders/>
          </w:tcPr>
          <w:p>
            <w:pPr>
              <w:pStyle w:val="TableContents"/>
              <w:bidi w:val="0"/>
              <w:spacing w:before="0" w:after="283"/>
              <w:jc w:val="center"/>
              <w:rPr/>
            </w:pPr>
            <w:r>
              <w:rPr/>
              <w:t>310(a)(1) and (2)</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7.09</w:t>
            </w:r>
          </w:p>
        </w:tc>
      </w:tr>
      <w:tr>
        <w:trPr/>
        <w:tc>
          <w:tcPr>
            <w:tcW w:w="5184" w:type="dxa"/>
            <w:tcBorders/>
          </w:tcPr>
          <w:p>
            <w:pPr>
              <w:pStyle w:val="TableContents"/>
              <w:bidi w:val="0"/>
              <w:spacing w:before="0" w:after="283"/>
              <w:jc w:val="center"/>
              <w:rPr/>
            </w:pPr>
            <w:r>
              <w:rPr/>
              <w:t>310(a)(3) and (4)</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Not applicable</w:t>
            </w:r>
          </w:p>
        </w:tc>
      </w:tr>
      <w:tr>
        <w:trPr/>
        <w:tc>
          <w:tcPr>
            <w:tcW w:w="5184" w:type="dxa"/>
            <w:tcBorders/>
          </w:tcPr>
          <w:p>
            <w:pPr>
              <w:pStyle w:val="TableContents"/>
              <w:bidi w:val="0"/>
              <w:spacing w:before="0" w:after="283"/>
              <w:jc w:val="center"/>
              <w:rPr/>
            </w:pPr>
            <w:r>
              <w:rPr/>
              <w:t>310(a)(5)</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7.09</w:t>
            </w:r>
          </w:p>
        </w:tc>
      </w:tr>
      <w:tr>
        <w:trPr/>
        <w:tc>
          <w:tcPr>
            <w:tcW w:w="5184" w:type="dxa"/>
            <w:tcBorders/>
          </w:tcPr>
          <w:p>
            <w:pPr>
              <w:pStyle w:val="TableContents"/>
              <w:bidi w:val="0"/>
              <w:spacing w:before="0" w:after="0"/>
              <w:jc w:val="center"/>
              <w:rPr>
                <w:rFonts w:ascii="Times New Roman" w:hAnsi="Times New Roman"/>
                <w:sz w:val="20"/>
              </w:rPr>
            </w:pPr>
            <w:r>
              <w:rPr>
                <w:rFonts w:ascii="Times New Roman" w:hAnsi="Times New Roman"/>
                <w:sz w:val="20"/>
              </w:rPr>
              <w:t>310(b)</w:t>
            </w:r>
          </w:p>
          <w:p>
            <w:pPr>
              <w:pStyle w:val="TableContents"/>
              <w:bidi w:val="0"/>
              <w:spacing w:before="0" w:after="20"/>
              <w:jc w:val="center"/>
              <w:rPr>
                <w:rFonts w:ascii="Times New Roman" w:hAnsi="Times New Roman"/>
                <w:sz w:val="20"/>
              </w:rPr>
            </w:pPr>
            <w:r>
              <w:rPr>
                <w:rFonts w:ascii="Times New Roman" w:hAnsi="Times New Roman"/>
                <w:sz w:val="20"/>
              </w:rPr>
              <w:t>310(c)</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0"/>
              <w:jc w:val="center"/>
              <w:rPr>
                <w:rFonts w:ascii="Times New Roman" w:hAnsi="Times New Roman"/>
                <w:sz w:val="20"/>
              </w:rPr>
            </w:pPr>
            <w:r>
              <w:rPr>
                <w:rFonts w:ascii="Times New Roman" w:hAnsi="Times New Roman"/>
                <w:sz w:val="20"/>
              </w:rPr>
              <w:t>7.08 and 7.10</w:t>
            </w:r>
          </w:p>
          <w:p>
            <w:pPr>
              <w:pStyle w:val="TableContents"/>
              <w:bidi w:val="0"/>
              <w:spacing w:before="0" w:after="20"/>
              <w:jc w:val="center"/>
              <w:rPr>
                <w:rFonts w:ascii="Times New Roman" w:hAnsi="Times New Roman"/>
                <w:sz w:val="20"/>
              </w:rPr>
            </w:pPr>
            <w:r>
              <w:rPr>
                <w:rFonts w:ascii="Times New Roman" w:hAnsi="Times New Roman"/>
                <w:sz w:val="20"/>
              </w:rPr>
              <w:t>Not applicable</w:t>
            </w:r>
          </w:p>
        </w:tc>
      </w:tr>
      <w:tr>
        <w:trPr/>
        <w:tc>
          <w:tcPr>
            <w:tcW w:w="5184" w:type="dxa"/>
            <w:tcBorders/>
          </w:tcPr>
          <w:p>
            <w:pPr>
              <w:pStyle w:val="TableContents"/>
              <w:bidi w:val="0"/>
              <w:spacing w:before="0" w:after="0"/>
              <w:jc w:val="center"/>
              <w:rPr>
                <w:rFonts w:ascii="Times New Roman" w:hAnsi="Times New Roman"/>
                <w:sz w:val="20"/>
              </w:rPr>
            </w:pPr>
            <w:r>
              <w:rPr>
                <w:rFonts w:ascii="Times New Roman" w:hAnsi="Times New Roman"/>
                <w:sz w:val="20"/>
              </w:rPr>
              <w:t>311(a) and (b)</w:t>
            </w:r>
          </w:p>
          <w:p>
            <w:pPr>
              <w:pStyle w:val="TableContents"/>
              <w:bidi w:val="0"/>
              <w:spacing w:before="0" w:after="20"/>
              <w:jc w:val="center"/>
              <w:rPr>
                <w:rFonts w:ascii="Times New Roman" w:hAnsi="Times New Roman"/>
                <w:sz w:val="20"/>
              </w:rPr>
            </w:pPr>
            <w:r>
              <w:rPr>
                <w:rFonts w:ascii="Times New Roman" w:hAnsi="Times New Roman"/>
                <w:sz w:val="20"/>
              </w:rPr>
              <w:t>311(c)</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0"/>
              <w:jc w:val="center"/>
              <w:rPr>
                <w:rFonts w:ascii="Times New Roman" w:hAnsi="Times New Roman"/>
                <w:sz w:val="20"/>
              </w:rPr>
            </w:pPr>
            <w:r>
              <w:rPr>
                <w:rFonts w:ascii="Times New Roman" w:hAnsi="Times New Roman"/>
                <w:sz w:val="20"/>
              </w:rPr>
              <w:t>7.13</w:t>
            </w:r>
          </w:p>
          <w:p>
            <w:pPr>
              <w:pStyle w:val="TableContents"/>
              <w:bidi w:val="0"/>
              <w:spacing w:before="0" w:after="20"/>
              <w:jc w:val="center"/>
              <w:rPr>
                <w:rFonts w:ascii="Times New Roman" w:hAnsi="Times New Roman"/>
                <w:sz w:val="20"/>
              </w:rPr>
            </w:pPr>
            <w:r>
              <w:rPr>
                <w:rFonts w:ascii="Times New Roman" w:hAnsi="Times New Roman"/>
                <w:sz w:val="20"/>
              </w:rPr>
              <w:t>Not applicable</w:t>
            </w:r>
          </w:p>
        </w:tc>
      </w:tr>
      <w:tr>
        <w:trPr/>
        <w:tc>
          <w:tcPr>
            <w:tcW w:w="5184" w:type="dxa"/>
            <w:tcBorders/>
          </w:tcPr>
          <w:p>
            <w:pPr>
              <w:pStyle w:val="TableContents"/>
              <w:bidi w:val="0"/>
              <w:spacing w:before="0" w:after="283"/>
              <w:jc w:val="center"/>
              <w:rPr/>
            </w:pPr>
            <w:r>
              <w:rPr/>
              <w:t>312(a)</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5.01 and 5.02(a)</w:t>
            </w:r>
          </w:p>
        </w:tc>
      </w:tr>
      <w:tr>
        <w:trPr/>
        <w:tc>
          <w:tcPr>
            <w:tcW w:w="5184" w:type="dxa"/>
            <w:tcBorders/>
          </w:tcPr>
          <w:p>
            <w:pPr>
              <w:pStyle w:val="TableContents"/>
              <w:bidi w:val="0"/>
              <w:spacing w:before="0" w:after="283"/>
              <w:jc w:val="center"/>
              <w:rPr/>
            </w:pPr>
            <w:r>
              <w:rPr/>
              <w:t>312(b) and (c)</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5.02(b)</w:t>
            </w:r>
          </w:p>
        </w:tc>
      </w:tr>
      <w:tr>
        <w:trPr/>
        <w:tc>
          <w:tcPr>
            <w:tcW w:w="5184" w:type="dxa"/>
            <w:tcBorders/>
          </w:tcPr>
          <w:p>
            <w:pPr>
              <w:pStyle w:val="TableContents"/>
              <w:bidi w:val="0"/>
              <w:spacing w:before="0" w:after="283"/>
              <w:jc w:val="center"/>
              <w:rPr/>
            </w:pPr>
            <w:r>
              <w:rPr/>
              <w:t>313(a)</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5.04</w:t>
            </w:r>
          </w:p>
        </w:tc>
      </w:tr>
      <w:tr>
        <w:trPr/>
        <w:tc>
          <w:tcPr>
            <w:tcW w:w="5184" w:type="dxa"/>
            <w:tcBorders/>
          </w:tcPr>
          <w:p>
            <w:pPr>
              <w:pStyle w:val="TableContents"/>
              <w:bidi w:val="0"/>
              <w:spacing w:before="0" w:after="283"/>
              <w:jc w:val="center"/>
              <w:rPr/>
            </w:pPr>
            <w:r>
              <w:rPr/>
              <w:t>313(b)(1)</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Not applicable</w:t>
            </w:r>
          </w:p>
        </w:tc>
      </w:tr>
      <w:tr>
        <w:trPr/>
        <w:tc>
          <w:tcPr>
            <w:tcW w:w="5184" w:type="dxa"/>
            <w:tcBorders/>
          </w:tcPr>
          <w:p>
            <w:pPr>
              <w:pStyle w:val="TableContents"/>
              <w:bidi w:val="0"/>
              <w:spacing w:before="0" w:after="283"/>
              <w:jc w:val="center"/>
              <w:rPr/>
            </w:pPr>
            <w:r>
              <w:rPr/>
              <w:t>313(b)(2)</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5.04</w:t>
            </w:r>
          </w:p>
        </w:tc>
      </w:tr>
      <w:tr>
        <w:trPr/>
        <w:tc>
          <w:tcPr>
            <w:tcW w:w="5184" w:type="dxa"/>
            <w:tcBorders/>
          </w:tcPr>
          <w:p>
            <w:pPr>
              <w:pStyle w:val="TableContents"/>
              <w:bidi w:val="0"/>
              <w:spacing w:before="0" w:after="283"/>
              <w:jc w:val="center"/>
              <w:rPr/>
            </w:pPr>
            <w:r>
              <w:rPr/>
              <w:t>313(c)</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5.04</w:t>
            </w:r>
          </w:p>
        </w:tc>
      </w:tr>
      <w:tr>
        <w:trPr/>
        <w:tc>
          <w:tcPr>
            <w:tcW w:w="5184" w:type="dxa"/>
            <w:tcBorders/>
          </w:tcPr>
          <w:p>
            <w:pPr>
              <w:pStyle w:val="TableContents"/>
              <w:bidi w:val="0"/>
              <w:spacing w:before="0" w:after="283"/>
              <w:jc w:val="center"/>
              <w:rPr/>
            </w:pPr>
            <w:r>
              <w:rPr/>
              <w:t>313(d)</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5.04</w:t>
            </w:r>
          </w:p>
        </w:tc>
      </w:tr>
      <w:tr>
        <w:trPr/>
        <w:tc>
          <w:tcPr>
            <w:tcW w:w="5184" w:type="dxa"/>
            <w:tcBorders/>
          </w:tcPr>
          <w:p>
            <w:pPr>
              <w:pStyle w:val="TableContents"/>
              <w:bidi w:val="0"/>
              <w:spacing w:before="0" w:after="283"/>
              <w:jc w:val="center"/>
              <w:rPr/>
            </w:pPr>
            <w:r>
              <w:rPr/>
              <w:t>314(a)</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5.03</w:t>
            </w:r>
          </w:p>
        </w:tc>
      </w:tr>
      <w:tr>
        <w:trPr/>
        <w:tc>
          <w:tcPr>
            <w:tcW w:w="5184" w:type="dxa"/>
            <w:tcBorders/>
          </w:tcPr>
          <w:p>
            <w:pPr>
              <w:pStyle w:val="TableContents"/>
              <w:bidi w:val="0"/>
              <w:spacing w:before="0" w:after="283"/>
              <w:jc w:val="center"/>
              <w:rPr/>
            </w:pPr>
            <w:r>
              <w:rPr/>
              <w:t>314(b)</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Not applicable</w:t>
            </w:r>
          </w:p>
        </w:tc>
      </w:tr>
      <w:tr>
        <w:trPr/>
        <w:tc>
          <w:tcPr>
            <w:tcW w:w="5184" w:type="dxa"/>
            <w:tcBorders/>
          </w:tcPr>
          <w:p>
            <w:pPr>
              <w:pStyle w:val="TableContents"/>
              <w:bidi w:val="0"/>
              <w:spacing w:before="0" w:after="283"/>
              <w:jc w:val="center"/>
              <w:rPr/>
            </w:pPr>
            <w:r>
              <w:rPr/>
              <w:t>314(c)(1) and (2)</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14.04(i)</w:t>
            </w:r>
          </w:p>
        </w:tc>
      </w:tr>
      <w:tr>
        <w:trPr/>
        <w:tc>
          <w:tcPr>
            <w:tcW w:w="5184" w:type="dxa"/>
            <w:tcBorders/>
          </w:tcPr>
          <w:p>
            <w:pPr>
              <w:pStyle w:val="TableContents"/>
              <w:bidi w:val="0"/>
              <w:spacing w:before="0" w:after="283"/>
              <w:jc w:val="center"/>
              <w:rPr/>
            </w:pPr>
            <w:r>
              <w:rPr/>
              <w:t>314(c)(3)</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Not applicable</w:t>
            </w:r>
          </w:p>
        </w:tc>
      </w:tr>
      <w:tr>
        <w:trPr/>
        <w:tc>
          <w:tcPr>
            <w:tcW w:w="5184" w:type="dxa"/>
            <w:tcBorders/>
          </w:tcPr>
          <w:p>
            <w:pPr>
              <w:pStyle w:val="TableContents"/>
              <w:bidi w:val="0"/>
              <w:spacing w:before="0" w:after="283"/>
              <w:jc w:val="center"/>
              <w:rPr/>
            </w:pPr>
            <w:r>
              <w:rPr/>
              <w:t>314(d)</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Not applicable</w:t>
            </w:r>
          </w:p>
        </w:tc>
      </w:tr>
      <w:tr>
        <w:trPr/>
        <w:tc>
          <w:tcPr>
            <w:tcW w:w="5184" w:type="dxa"/>
            <w:tcBorders/>
          </w:tcPr>
          <w:p>
            <w:pPr>
              <w:pStyle w:val="TableContents"/>
              <w:bidi w:val="0"/>
              <w:spacing w:before="0" w:after="283"/>
              <w:jc w:val="center"/>
              <w:rPr/>
            </w:pPr>
            <w:r>
              <w:rPr/>
              <w:t>314(e)</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15.05</w:t>
            </w:r>
          </w:p>
        </w:tc>
      </w:tr>
      <w:tr>
        <w:trPr/>
        <w:tc>
          <w:tcPr>
            <w:tcW w:w="5184" w:type="dxa"/>
            <w:tcBorders/>
          </w:tcPr>
          <w:p>
            <w:pPr>
              <w:pStyle w:val="TableContents"/>
              <w:bidi w:val="0"/>
              <w:spacing w:before="0" w:after="283"/>
              <w:jc w:val="center"/>
              <w:rPr/>
            </w:pPr>
            <w:r>
              <w:rPr/>
              <w:t>314(f)</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Not applicable</w:t>
            </w:r>
          </w:p>
        </w:tc>
      </w:tr>
      <w:tr>
        <w:trPr/>
        <w:tc>
          <w:tcPr>
            <w:tcW w:w="5184" w:type="dxa"/>
            <w:tcBorders/>
          </w:tcPr>
          <w:p>
            <w:pPr>
              <w:pStyle w:val="TableContents"/>
              <w:bidi w:val="0"/>
              <w:spacing w:before="0" w:after="283"/>
              <w:jc w:val="center"/>
              <w:rPr/>
            </w:pPr>
            <w:r>
              <w:rPr/>
              <w:t>315(a), (c) and (d)</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7.01</w:t>
            </w:r>
          </w:p>
        </w:tc>
      </w:tr>
      <w:tr>
        <w:trPr/>
        <w:tc>
          <w:tcPr>
            <w:tcW w:w="5184" w:type="dxa"/>
            <w:tcBorders/>
          </w:tcPr>
          <w:p>
            <w:pPr>
              <w:pStyle w:val="TableContents"/>
              <w:bidi w:val="0"/>
              <w:spacing w:before="0" w:after="283"/>
              <w:jc w:val="center"/>
              <w:rPr/>
            </w:pPr>
            <w:r>
              <w:rPr/>
              <w:t>315(b)</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7.14</w:t>
            </w:r>
          </w:p>
        </w:tc>
      </w:tr>
      <w:tr>
        <w:trPr/>
        <w:tc>
          <w:tcPr>
            <w:tcW w:w="5184" w:type="dxa"/>
            <w:tcBorders/>
          </w:tcPr>
          <w:p>
            <w:pPr>
              <w:pStyle w:val="TableContents"/>
              <w:bidi w:val="0"/>
              <w:spacing w:before="0" w:after="283"/>
              <w:jc w:val="center"/>
              <w:rPr/>
            </w:pPr>
            <w:r>
              <w:rPr/>
              <w:t>315(e)</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6.14</w:t>
            </w:r>
          </w:p>
        </w:tc>
      </w:tr>
      <w:tr>
        <w:trPr/>
        <w:tc>
          <w:tcPr>
            <w:tcW w:w="5184" w:type="dxa"/>
            <w:tcBorders/>
          </w:tcPr>
          <w:p>
            <w:pPr>
              <w:pStyle w:val="TableContents"/>
              <w:bidi w:val="0"/>
              <w:spacing w:before="0" w:after="283"/>
              <w:jc w:val="center"/>
              <w:rPr/>
            </w:pPr>
            <w:r>
              <w:rPr/>
              <w:t>316(a)(1)</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6.12</w:t>
            </w:r>
          </w:p>
        </w:tc>
      </w:tr>
      <w:tr>
        <w:trPr/>
        <w:tc>
          <w:tcPr>
            <w:tcW w:w="5184" w:type="dxa"/>
            <w:tcBorders/>
          </w:tcPr>
          <w:p>
            <w:pPr>
              <w:pStyle w:val="TableContents"/>
              <w:bidi w:val="0"/>
              <w:spacing w:before="0" w:after="283"/>
              <w:jc w:val="center"/>
              <w:rPr/>
            </w:pPr>
            <w:r>
              <w:rPr/>
              <w:t>316(a)(2)</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Omitted</w:t>
            </w:r>
          </w:p>
        </w:tc>
      </w:tr>
      <w:tr>
        <w:trPr/>
        <w:tc>
          <w:tcPr>
            <w:tcW w:w="5184" w:type="dxa"/>
            <w:tcBorders/>
          </w:tcPr>
          <w:p>
            <w:pPr>
              <w:pStyle w:val="TableContents"/>
              <w:bidi w:val="0"/>
              <w:spacing w:before="0" w:after="283"/>
              <w:jc w:val="center"/>
              <w:rPr/>
            </w:pPr>
            <w:r>
              <w:rPr/>
              <w:t>316(a) last sentence</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8.04</w:t>
            </w:r>
          </w:p>
        </w:tc>
      </w:tr>
      <w:tr>
        <w:trPr/>
        <w:tc>
          <w:tcPr>
            <w:tcW w:w="5184" w:type="dxa"/>
            <w:tcBorders/>
          </w:tcPr>
          <w:p>
            <w:pPr>
              <w:pStyle w:val="TableContents"/>
              <w:bidi w:val="0"/>
              <w:spacing w:before="0" w:after="283"/>
              <w:jc w:val="center"/>
              <w:rPr/>
            </w:pPr>
            <w:r>
              <w:rPr/>
              <w:t>316(b)</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6.08</w:t>
            </w:r>
          </w:p>
        </w:tc>
      </w:tr>
      <w:tr>
        <w:trPr/>
        <w:tc>
          <w:tcPr>
            <w:tcW w:w="5184" w:type="dxa"/>
            <w:tcBorders/>
          </w:tcPr>
          <w:p>
            <w:pPr>
              <w:pStyle w:val="TableContents"/>
              <w:bidi w:val="0"/>
              <w:spacing w:before="0" w:after="283"/>
              <w:jc w:val="center"/>
              <w:rPr/>
            </w:pPr>
            <w:r>
              <w:rPr/>
              <w:t>316(c)</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8.06</w:t>
            </w:r>
          </w:p>
        </w:tc>
      </w:tr>
      <w:tr>
        <w:trPr/>
        <w:tc>
          <w:tcPr>
            <w:tcW w:w="5184" w:type="dxa"/>
            <w:tcBorders/>
          </w:tcPr>
          <w:p>
            <w:pPr>
              <w:pStyle w:val="TableContents"/>
              <w:bidi w:val="0"/>
              <w:spacing w:before="0" w:after="283"/>
              <w:jc w:val="center"/>
              <w:rPr/>
            </w:pPr>
            <w:r>
              <w:rPr/>
              <w:t>317(a)</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6.03 and 6.04</w:t>
            </w:r>
          </w:p>
        </w:tc>
      </w:tr>
      <w:tr>
        <w:trPr/>
        <w:tc>
          <w:tcPr>
            <w:tcW w:w="5184" w:type="dxa"/>
            <w:tcBorders/>
          </w:tcPr>
          <w:p>
            <w:pPr>
              <w:pStyle w:val="TableContents"/>
              <w:bidi w:val="0"/>
              <w:spacing w:before="0" w:after="283"/>
              <w:jc w:val="center"/>
              <w:rPr/>
            </w:pPr>
            <w:r>
              <w:rPr/>
              <w:t>317(b)</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4.03(a)</w:t>
            </w:r>
          </w:p>
        </w:tc>
      </w:tr>
      <w:tr>
        <w:trPr/>
        <w:tc>
          <w:tcPr>
            <w:tcW w:w="5184" w:type="dxa"/>
            <w:tcBorders/>
          </w:tcPr>
          <w:p>
            <w:pPr>
              <w:pStyle w:val="TableContents"/>
              <w:bidi w:val="0"/>
              <w:spacing w:before="0" w:after="283"/>
              <w:jc w:val="center"/>
              <w:rPr/>
            </w:pPr>
            <w:r>
              <w:rPr/>
              <w:t>318(a)</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15.07</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This reconciliation and tie shall not, for any purpose, be deemed to be a part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Attention should also be directed to Section 318(c) of the Trust Indenture Act, which provides that the provisions of Sections 310 to and including Section 317 of the Trust Indenture Act are a part of and govern every qualified indenture, whether or not physically contained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05"/>
        <w:gridCol w:w="345"/>
        <w:gridCol w:w="110"/>
        <w:gridCol w:w="483"/>
        <w:gridCol w:w="62"/>
      </w:tblGrid>
      <w:tr>
        <w:trPr/>
        <w:tc>
          <w:tcPr>
            <w:tcW w:w="9205"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0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593" w:type="dxa"/>
            <w:gridSpan w:val="2"/>
            <w:tcBorders/>
            <w:vAlign w:val="bottom"/>
          </w:tcPr>
          <w:p>
            <w:pPr>
              <w:pStyle w:val="TableContents"/>
              <w:bidi w:val="0"/>
              <w:spacing w:before="0" w:after="283"/>
              <w:jc w:val="center"/>
              <w:rPr>
                <w:b/>
              </w:rPr>
            </w:pPr>
            <w:r>
              <w:rPr>
                <w:b/>
              </w:rPr>
              <w:t>Page(s)</w:t>
            </w:r>
          </w:p>
        </w:tc>
        <w:tc>
          <w:tcPr>
            <w:tcW w:w="62" w:type="dxa"/>
            <w:tcBorders/>
            <w:vAlign w:val="bottom"/>
          </w:tcPr>
          <w:p>
            <w:pPr>
              <w:pStyle w:val="TableContents"/>
              <w:bidi w:val="0"/>
              <w:spacing w:before="0" w:after="283"/>
              <w:jc w:val="left"/>
              <w:rPr/>
            </w:pPr>
            <w:r>
              <w:rPr/>
              <w:t> </w:t>
            </w:r>
          </w:p>
        </w:tc>
      </w:tr>
      <w:tr>
        <w:trPr>
          <w:trHeight w:val="120" w:hRule="atLeast"/>
        </w:trPr>
        <w:tc>
          <w:tcPr>
            <w:tcW w:w="920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r>
      <w:tr>
        <w:trPr/>
        <w:tc>
          <w:tcPr>
            <w:tcW w:w="9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1 DEFINITIONS</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120" w:hRule="atLeast"/>
        </w:trPr>
        <w:tc>
          <w:tcPr>
            <w:tcW w:w="920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 Definitions</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1.02. Incorporation by Reference of Trust Indenture Act</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1.03. Rules of Construction</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920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r>
      <w:tr>
        <w:trPr/>
        <w:tc>
          <w:tcPr>
            <w:tcW w:w="9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2 ISSUE, EXECUTION, REGISTRATION AND EXCHANGE OF SECURITIES</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120" w:hRule="atLeast"/>
        </w:trPr>
        <w:tc>
          <w:tcPr>
            <w:tcW w:w="920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2.01. Amount Unlimited; Issuable in Series</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2.02. Form of Trustee’s Certificate of Authentication</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2.03. Form of Securities Generally; Establishment of Terms of Series</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2.04. Securities in Global Form</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2.05. Denominations; Record Date; Payment of Interest</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2.06. Execution, Authentication, Delivery and Dating of Securities</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2.07. Exchange and Registration of Transfer of Securities</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2.08. Temporary Securities</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2.09. Mutilated, Destroyed, Lost or Stolen Securities</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2.10. Cancellation</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2.11. Book-Entry Only System</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rHeight w:val="120" w:hRule="atLeast"/>
        </w:trPr>
        <w:tc>
          <w:tcPr>
            <w:tcW w:w="920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r>
      <w:tr>
        <w:trPr/>
        <w:tc>
          <w:tcPr>
            <w:tcW w:w="9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3 REDEMPTION OF SECURITIES</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rHeight w:val="120" w:hRule="atLeast"/>
        </w:trPr>
        <w:tc>
          <w:tcPr>
            <w:tcW w:w="920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3.01. Redemption of Securities, Applicability of Section</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3.02. Notice of Redemption, Selection of Securities</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3.03. Payment of Securities Called for Redemption</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3.04. Redemption Suspended During Event of Default</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rHeight w:val="120" w:hRule="atLeast"/>
        </w:trPr>
        <w:tc>
          <w:tcPr>
            <w:tcW w:w="920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r>
      <w:tr>
        <w:trPr/>
        <w:tc>
          <w:tcPr>
            <w:tcW w:w="9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4 PARTICULAR COVENANTS OF THE COMPANY</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rHeight w:val="120" w:hRule="atLeast"/>
        </w:trPr>
        <w:tc>
          <w:tcPr>
            <w:tcW w:w="920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4.01. Payment of Principal, Premium and Interest</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4.02. Offices for Notices and Payments</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4.03. Provisions as to Paying Agent</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4.04. Statement as to Compliance</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4.05. Corporate Existence</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4.06. Waiver of Covenants</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920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r>
      <w:tr>
        <w:trPr/>
        <w:tc>
          <w:tcPr>
            <w:tcW w:w="9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5 SECURITYHOLDER LISTS AND REPORTS BY THE COMPANY AND THE TRUSTEE</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920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5.01. Securityholder Lists</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5.02. Preservation and Disclosure of Lists</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5.03. Reports by the Company</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05" w:type="dxa"/>
            <w:tcBorders/>
          </w:tcPr>
          <w:p>
            <w:pPr>
              <w:pStyle w:val="TableContents"/>
              <w:bidi w:val="0"/>
              <w:spacing w:before="0" w:after="0"/>
              <w:jc w:val="left"/>
              <w:rPr>
                <w:rFonts w:ascii="Times New Roman" w:hAnsi="Times New Roman"/>
                <w:sz w:val="20"/>
              </w:rPr>
            </w:pPr>
            <w:r>
              <w:rPr>
                <w:rFonts w:ascii="Times New Roman" w:hAnsi="Times New Roman"/>
                <w:sz w:val="20"/>
              </w:rPr>
              <w:t>SECTION 5.04. Reports by the Trustee</w:t>
            </w:r>
          </w:p>
        </w:tc>
        <w:tc>
          <w:tcPr>
            <w:tcW w:w="34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656"/>
        <w:gridCol w:w="166"/>
        <w:gridCol w:w="60"/>
        <w:gridCol w:w="260"/>
        <w:gridCol w:w="63"/>
      </w:tblGrid>
      <w:tr>
        <w:trPr/>
        <w:tc>
          <w:tcPr>
            <w:tcW w:w="9656"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ARTICLE 6 REMEDIES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9656" w:type="dxa"/>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6.01. Events of Default; Acceleration of Maturity</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6.02. Rescission and Annulment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6.03. Collection of Indebtedness and Suits for Enforcement by Trustee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6.04. Trustee May File Proofs of Claim</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6.05. Trustee May Enforce Claims Without Possession of Securities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6.06. Application of Money Collected</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6.07. Limitation on Suits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6.08. Unconditional Right of Securityholders to Receive Principal and Interest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6.09. Restoration of Rights and Remedies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6.10. Rights and Remedies Cumulative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6.11. Delay or Omission Not Waiver</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6.12. Control by Securityholders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6.13. Waiver of Past Defaults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6.14. Undertaking for Costs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6.15. Waiver of Stay or Extension Laws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656" w:type="dxa"/>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ARTICLE 7 CONCERNING THE TRUSTEE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656" w:type="dxa"/>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7.01. Duties and Responsibilities of Trustee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7.02. Reliance on Documents, Opinions, etc.</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7.03. No Responsibility for Recitals, etc.</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7.04. Ownership of Securities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7.05. Moneys to be Held in Trust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7.06. Compensation and Expenses of Trustee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7.07. Officer’s Certificate or Opinion of Counsel as Evidence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7.08. Disqualifications; Conflicting Interest of Trustee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7.09. Eligibility of Trustee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7.10. Resignation or Removal of Trustee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7.11. Acceptance by Successor Trustee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7.12. Successor by Merger, etc.</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7.13. Limitations on Rights of Trustee as Creditor</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7.14. Notice of Default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7.15. Appointment of Authenticating Agent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9656" w:type="dxa"/>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ARTICLE 8 CONCERNING THE SECURITYHOLDERS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9656" w:type="dxa"/>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8.01. Action by Securityholders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8.02. Proof of Execution by Securityholders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8.03. Who Are Deemed Absolute Owners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8.04. Company-Owned Securities Disregarded</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8.05. Revocation of Consents; Future Securityholders Bound</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rFonts w:ascii="Times New Roman" w:hAnsi="Times New Roman"/>
                <w:sz w:val="20"/>
              </w:rPr>
            </w:pPr>
            <w:r>
              <w:rPr>
                <w:rFonts w:ascii="Times New Roman" w:hAnsi="Times New Roman"/>
                <w:sz w:val="20"/>
              </w:rPr>
              <w:t>SECTION 8.06. Record Date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654"/>
        <w:gridCol w:w="167"/>
        <w:gridCol w:w="60"/>
        <w:gridCol w:w="262"/>
        <w:gridCol w:w="62"/>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ARTICLE 9 SECURITYHOLDERS’ MEETINGS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9.01. Purposes of Meeting</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9.02. Call of Meetings by Trustee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9.03. Call of Meetings by Company or Securityholders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9.04. Qualifications for Voting</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9.05. Regulations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9.06. Voting</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ARTICLE 10 SUPPLEMENTAL INDENTURES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 Supplemental Indentures without Consent of Securityholders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 Supplemental Indentures with Consent of Holders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 Compliance with Trust Indenture Act; Effect of Supplemental Indentures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49</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 Notation on Securities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49</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 Trustee to Sign Supplemental Indentures, Etc.</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49</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ARTICLE 11 CONSOLIDATION, MERGER, SALE OR CONVEYANCE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50</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 Company May Consolidate, etc., on Certain Terms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50</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 Successor Corporation Substituted</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50</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 Opinion of Counsel and Officer’s Certificate to be Given Trustee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ARTICLE 12 SATISFACTION AND DISCHARGE OF INDENTURE; UNCLAIMED MONEYS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 Discharge of Indenture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12.02. Deposited Moneys to be Held in Trust by Trustee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12.03. Paying Agent to Repay Moneys Held</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12.04. Return of Unclaimed Moneys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ARTICLE 13 IMMUNITY OF INCORPORATORS, STOCKHOLDERS, OFFICERS AND DIRECTORS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 Indenture and Securities Solely Corporate Obligations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ARTICLE 14 DEFEASANCE AND COVENANT DEFEASANCE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53</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14.01. Applicability of Article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53</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14.02. Defeasance and Discharge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53</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14.03. Covenant Defeasance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53</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14.04. Conditions to Defeasance or Covenant Defeasance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14.05. Deposited Money and U.S. Government Obligations to be Held in Trust; Other Miscellaneous Provisions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654"/>
        <w:gridCol w:w="168"/>
        <w:gridCol w:w="60"/>
        <w:gridCol w:w="261"/>
        <w:gridCol w:w="62"/>
      </w:tblGrid>
      <w:tr>
        <w:trPr/>
        <w:tc>
          <w:tcPr>
            <w:tcW w:w="9654"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15 MISCELLANEOUS PROVISIONS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15.01. Benefits of Indenture Restricted to Parties and Securityholders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15.02. Provisions Binding on Company’s Successors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15.03. Addresses for Notices, etc., to Company and Trustee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15.04. Notice to Holders of Securities; Waiver</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15.05. Evidence of Compliance with Conditions Precedent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15.06. Legal Holidays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15.07. Trust Indenture Act to Control</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15.08. Execution in Counterparts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15.09. Governing Law; Waiver of Jury Trial</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59</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15.10. Severability; Entire Agreement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59</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15.11. Interpretations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15.12. U.S.A. Patriot Act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16 RANKING OF SECURITIES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16.01. Ranking</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INDENTURE, dated as of [] between First Merchants Corporation, a corporation duly organized and existing under the laws of the State of Indiana (the “Company”), and [], as trustee (the “Trustee,” which term shall include any successor trustee appointed pursuant to Article 7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deems it necessary to issue from time to time for its lawful purposes securities (the “Securities”) evidencing its indebtedness and has duly authorized the execution and delivery of this Indenture to provide for the issuance of the Securities in one or more series, unlimited as to principal amount, to bear such rates of interest, to mature at such time or times, and to have such other provisions as shall be fixed as hereinafter provided;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represents that all acts and things necessary to constitute these presents a valid indenture and agreement according to its terms have been done and performed, and the execution of this Indenture has in all respects been duly authorized, and the Company, in the exercise of legal right and power in it vested, is executing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w:t>
      </w:r>
    </w:p>
    <w:p>
      <w:pPr>
        <w:pStyle w:val="TextBody"/>
        <w:bidi w:val="0"/>
        <w:spacing w:before="120" w:after="0"/>
        <w:jc w:val="left"/>
        <w:rPr>
          <w:rFonts w:ascii="Times New Roman" w:hAnsi="Times New Roman"/>
          <w:sz w:val="20"/>
        </w:rPr>
      </w:pPr>
      <w:r>
        <w:rPr>
          <w:rFonts w:ascii="Times New Roman" w:hAnsi="Times New Roman"/>
          <w:sz w:val="20"/>
        </w:rPr>
        <w:t xml:space="preserve">In order to declare the terms and conditions upon which the Securities are authenticated, issued and received, and in consideration of the premises and the purchase and acceptance of the Securities by the holders thereof, it is mutually covenanted and agreed, for the equal and proportionate benefit of the respective holders from time to time of the Securities,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 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terms defined in this Section (except as herein otherwise expressly provided or unless the context otherwise requires) for all purposes of this Indenture and of any indenture supplemental hereto shall have the respective meanings specified in this Section. All other terms used in this Indenture that are defined in the Trust Indenture Act or that are by reference therein defined in the Securities Act shall have the meanings (except as herein otherwise expressly provided or unless the context otherwise requires) assigned to such terms in the Trust Indenture Act or in the Securities Act, as applicable, in each case as in force at the date of this Indenture as originally executed. All accounting terms used herein and not expressly defined shall have the meanings assigned to such terms in accordance with United States generally accepted accounting principles as are generally accepted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 </w:t>
      </w:r>
    </w:p>
    <w:p>
      <w:pPr>
        <w:pStyle w:val="TextBody"/>
        <w:bidi w:val="0"/>
        <w:spacing w:before="240" w:after="0"/>
        <w:jc w:val="left"/>
        <w:rPr/>
      </w:pPr>
      <w:r>
        <w:rPr/>
        <w:t>“</w:t>
      </w:r>
      <w:r>
        <w:rPr>
          <w:rFonts w:ascii="Times New Roman" w:hAnsi="Times New Roman"/>
          <w:sz w:val="20"/>
        </w:rPr>
        <w:t xml:space="preserve">Additional Amounts” shall mean any additional amounts to be paid by the Company in respect of Securities of a series, as may be specified pursuant to Section 2.03 hereof and in such Security and under the circumstances specified therein, in respect of specified taxes, assessments or other governmental charges imposed on certain holders who are United States Aliens.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Authorized Officer” shall mean the Chief Executive Officer, the Chief Financial Officer, the President, the Treasurer, any Executive Vice President or the Secretary of the Company. </w:t>
      </w:r>
    </w:p>
    <w:p>
      <w:pPr>
        <w:pStyle w:val="TextBody"/>
        <w:bidi w:val="0"/>
        <w:spacing w:before="240" w:after="0"/>
        <w:jc w:val="left"/>
        <w:rPr/>
      </w:pPr>
      <w:r>
        <w:rPr/>
        <w:t>“</w:t>
      </w:r>
      <w:r>
        <w:rPr>
          <w:rFonts w:ascii="Times New Roman" w:hAnsi="Times New Roman"/>
          <w:sz w:val="20"/>
        </w:rPr>
        <w:t xml:space="preserve">Board of Directors” or “Board” shall mean the Board of Directors of the Company or any duly authorized committee of such Board. </w:t>
      </w:r>
    </w:p>
    <w:p>
      <w:pPr>
        <w:pStyle w:val="TextBody"/>
        <w:bidi w:val="0"/>
        <w:spacing w:before="240" w:after="0"/>
        <w:jc w:val="left"/>
        <w:rPr/>
      </w:pPr>
      <w:r>
        <w:rPr/>
        <w:t>“</w:t>
      </w:r>
      <w:r>
        <w:rPr>
          <w:rFonts w:ascii="Times New Roman" w:hAnsi="Times New Roman"/>
          <w:sz w:val="20"/>
        </w:rPr>
        <w:t xml:space="preserve">Board Resolution” shall mean a resolution certified by the Secretary or an Assistant Secretary of the Company to have been duly adopted by the Board of Directors or by a committee acting under authority of or appointment by the Board of Directors and to be in full force and effect on the date of such certification, and delivered to the Trustee. </w:t>
      </w:r>
    </w:p>
    <w:p>
      <w:pPr>
        <w:pStyle w:val="TextBody"/>
        <w:bidi w:val="0"/>
        <w:spacing w:before="240" w:after="0"/>
        <w:jc w:val="left"/>
        <w:rPr/>
      </w:pPr>
      <w:r>
        <w:rPr/>
        <w:t>“</w:t>
      </w:r>
      <w:r>
        <w:rPr>
          <w:rFonts w:ascii="Times New Roman" w:hAnsi="Times New Roman"/>
          <w:sz w:val="20"/>
        </w:rPr>
        <w:t xml:space="preserve">Business Day” shall mean, unless otherwise specified pursuant to Section 2.03, any day other than a Saturday or Sunday that is neither a federal holiday nor a day on which banking institutions or trust companies in the City of New York, New York, or any Place of Payment are authorized or obligated by law, regulation or executive order to remain closed. </w:t>
      </w:r>
    </w:p>
    <w:p>
      <w:pPr>
        <w:pStyle w:val="TextBody"/>
        <w:bidi w:val="0"/>
        <w:spacing w:before="240" w:after="0"/>
        <w:jc w:val="left"/>
        <w:rPr/>
      </w:pPr>
      <w:r>
        <w:rPr/>
        <w:t>“</w:t>
      </w:r>
      <w:r>
        <w:rPr>
          <w:rFonts w:ascii="Times New Roman" w:hAnsi="Times New Roman"/>
          <w:sz w:val="20"/>
        </w:rPr>
        <w:t xml:space="preserve">Capital Stock” shall mean, as to shares of a particular corporation, outstanding shares of stock of any class, whether now or hereafter authorized, irrespective of whether such class shall be limited to a fixed sum or percentage in respect of the rights of the holders thereof to participate in dividends and in the distribution of assets upon the voluntary liquidation, dissolution or winding up of such corporation. </w:t>
      </w:r>
    </w:p>
    <w:p>
      <w:pPr>
        <w:pStyle w:val="TextBody"/>
        <w:bidi w:val="0"/>
        <w:spacing w:before="240" w:after="0"/>
        <w:jc w:val="left"/>
        <w:rPr/>
      </w:pPr>
      <w:r>
        <w:rPr/>
        <w:t>“</w:t>
      </w:r>
      <w:r>
        <w:rPr>
          <w:rFonts w:ascii="Times New Roman" w:hAnsi="Times New Roman"/>
          <w:sz w:val="20"/>
        </w:rPr>
        <w:t xml:space="preserve">Commission” shall mean the Securities and Exchange Commission or any successor agency. </w:t>
      </w:r>
    </w:p>
    <w:p>
      <w:pPr>
        <w:pStyle w:val="TextBody"/>
        <w:bidi w:val="0"/>
        <w:spacing w:before="240" w:after="0"/>
        <w:jc w:val="left"/>
        <w:rPr/>
      </w:pPr>
      <w:r>
        <w:rPr/>
        <w:t>“</w:t>
      </w:r>
      <w:r>
        <w:rPr>
          <w:rFonts w:ascii="Times New Roman" w:hAnsi="Times New Roman"/>
          <w:sz w:val="20"/>
        </w:rPr>
        <w:t xml:space="preserve">Company” shall mean the person named as the “Company” in the first paragraph of this instrument until a successor corporation shall have become such pursuant to the applicable provisions of this Indenture, and thereafter “Company” shall mean such successor corporation. </w:t>
      </w:r>
    </w:p>
    <w:p>
      <w:pPr>
        <w:pStyle w:val="TextBody"/>
        <w:bidi w:val="0"/>
        <w:spacing w:before="240" w:after="0"/>
        <w:jc w:val="left"/>
        <w:rPr/>
      </w:pPr>
      <w:r>
        <w:rPr/>
        <w:t>“</w:t>
      </w:r>
      <w:r>
        <w:rPr>
          <w:rFonts w:ascii="Times New Roman" w:hAnsi="Times New Roman"/>
          <w:sz w:val="20"/>
        </w:rPr>
        <w:t xml:space="preserve">Company Request” and “Company Order” mean, respectively, a written request or order signed in the name of the Company by its Chief Executive Officer, President, Chief Financial Officer, Vice President, General Counsel, Secretary or Assistant Secretary or Treasurer or Assistant Treasurer and delivered to the Trustee. </w:t>
      </w:r>
    </w:p>
    <w:p>
      <w:pPr>
        <w:pStyle w:val="TextBody"/>
        <w:bidi w:val="0"/>
        <w:spacing w:before="240" w:after="0"/>
        <w:jc w:val="left"/>
        <w:rPr/>
      </w:pPr>
      <w:r>
        <w:rPr/>
        <w:t>“</w:t>
      </w:r>
      <w:r>
        <w:rPr>
          <w:rFonts w:ascii="Times New Roman" w:hAnsi="Times New Roman"/>
          <w:sz w:val="20"/>
        </w:rPr>
        <w:t xml:space="preserve">Corporate Trust Office” means the office of the Trustee at which at any particular time its corporate trust business shall be principally administered, which office at the date hereof is located at [], Attention: [],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 </w:t>
      </w:r>
    </w:p>
    <w:p>
      <w:pPr>
        <w:pStyle w:val="TextBody"/>
        <w:bidi w:val="0"/>
        <w:spacing w:before="240" w:after="0"/>
        <w:jc w:val="left"/>
        <w:rPr/>
      </w:pPr>
      <w:r>
        <w:rPr/>
        <w:t>“</w:t>
      </w:r>
      <w:r>
        <w:rPr>
          <w:rFonts w:ascii="Times New Roman" w:hAnsi="Times New Roman"/>
          <w:sz w:val="20"/>
        </w:rPr>
        <w:t xml:space="preserve">covenant defeasance” shall have the meaning set forth in Section 14.03. </w:t>
      </w:r>
    </w:p>
    <w:p>
      <w:pPr>
        <w:pStyle w:val="TextBody"/>
        <w:bidi w:val="0"/>
        <w:spacing w:before="240" w:after="0"/>
        <w:jc w:val="left"/>
        <w:rPr/>
      </w:pPr>
      <w:r>
        <w:rPr/>
        <w:t>“</w:t>
      </w:r>
      <w:r>
        <w:rPr>
          <w:rFonts w:ascii="Times New Roman" w:hAnsi="Times New Roman"/>
          <w:sz w:val="20"/>
        </w:rPr>
        <w:t xml:space="preserve">Default” or “default” shall mean any event which is, or after notice or lapse of time or both would become, an Event of Default with respect to Securities of such series. </w:t>
      </w:r>
    </w:p>
    <w:p>
      <w:pPr>
        <w:pStyle w:val="TextBody"/>
        <w:bidi w:val="0"/>
        <w:spacing w:before="240" w:after="0"/>
        <w:jc w:val="left"/>
        <w:rPr/>
      </w:pPr>
      <w:r>
        <w:rPr/>
        <w:t>“</w:t>
      </w:r>
      <w:r>
        <w:rPr>
          <w:rFonts w:ascii="Times New Roman" w:hAnsi="Times New Roman"/>
          <w:sz w:val="20"/>
        </w:rPr>
        <w:t xml:space="preserve">defeasance” shall have the meaning set forth in Section 14.02.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Depositary” shall mean, with respect to the Securities of any series issuable or issued in whole or in part in the form of one or more permanent global Securities, the person designated as Depositary by the Company pursuant to Section 2.03, which must be a clearing agency registered under the Exchange Act,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series shall mean the Depositary with respect to the Securities of such series. </w:t>
      </w:r>
    </w:p>
    <w:p>
      <w:pPr>
        <w:pStyle w:val="TextBody"/>
        <w:bidi w:val="0"/>
        <w:spacing w:before="240" w:after="0"/>
        <w:jc w:val="left"/>
        <w:rPr/>
      </w:pPr>
      <w:r>
        <w:rPr/>
        <w:t>“</w:t>
      </w:r>
      <w:r>
        <w:rPr>
          <w:rFonts w:ascii="Times New Roman" w:hAnsi="Times New Roman"/>
          <w:sz w:val="20"/>
        </w:rPr>
        <w:t xml:space="preserve">Dollar” or “$” shall mean a dollar or other equivalent unit in such coin or currency of the United States of America as at the time shall be legal tender for the payment of public and private debts. </w:t>
      </w:r>
    </w:p>
    <w:p>
      <w:pPr>
        <w:pStyle w:val="TextBody"/>
        <w:bidi w:val="0"/>
        <w:spacing w:before="240" w:after="0"/>
        <w:jc w:val="left"/>
        <w:rPr/>
      </w:pPr>
      <w:r>
        <w:rPr/>
        <w:t>“</w:t>
      </w:r>
      <w:r>
        <w:rPr>
          <w:rFonts w:ascii="Times New Roman" w:hAnsi="Times New Roman"/>
          <w:sz w:val="20"/>
        </w:rPr>
        <w:t xml:space="preserve">Event of Default” shall have the meaning specified in Article 6. </w:t>
      </w:r>
    </w:p>
    <w:p>
      <w:pPr>
        <w:pStyle w:val="TextBody"/>
        <w:bidi w:val="0"/>
        <w:spacing w:before="240" w:after="0"/>
        <w:jc w:val="left"/>
        <w:rPr/>
      </w:pPr>
      <w:r>
        <w:rPr/>
        <w:t>“</w:t>
      </w:r>
      <w:r>
        <w:rPr>
          <w:rFonts w:ascii="Times New Roman" w:hAnsi="Times New Roman"/>
          <w:sz w:val="20"/>
        </w:rPr>
        <w:t xml:space="preserve">Exchange Act” shall mean the Securities Exchange Act of 1934, as amended. </w:t>
      </w:r>
    </w:p>
    <w:p>
      <w:pPr>
        <w:pStyle w:val="TextBody"/>
        <w:bidi w:val="0"/>
        <w:spacing w:before="240" w:after="0"/>
        <w:jc w:val="left"/>
        <w:rPr/>
      </w:pPr>
      <w:r>
        <w:rPr/>
        <w:t>“</w:t>
      </w:r>
      <w:r>
        <w:rPr>
          <w:rFonts w:ascii="Times New Roman" w:hAnsi="Times New Roman"/>
          <w:sz w:val="20"/>
        </w:rPr>
        <w:t xml:space="preserve">Exchange Date” shall have the meaning set forth in Section 2.08. </w:t>
      </w:r>
    </w:p>
    <w:p>
      <w:pPr>
        <w:pStyle w:val="TextBody"/>
        <w:bidi w:val="0"/>
        <w:spacing w:before="240" w:after="0"/>
        <w:jc w:val="left"/>
        <w:rPr/>
      </w:pPr>
      <w:r>
        <w:rPr/>
        <w:t>“</w:t>
      </w:r>
      <w:r>
        <w:rPr>
          <w:rFonts w:ascii="Times New Roman" w:hAnsi="Times New Roman"/>
          <w:sz w:val="20"/>
        </w:rPr>
        <w:t xml:space="preserve">global Security” or “global Securities” means a Security or Securities, as the case may be, in the form established pursuant to Section 2.03 evidencing all or part of a Series of Securities, issued to the Depositary for such Series or its nominee, and registered in the name of such Depositary or nominee. </w:t>
      </w:r>
    </w:p>
    <w:p>
      <w:pPr>
        <w:pStyle w:val="TextBody"/>
        <w:bidi w:val="0"/>
        <w:spacing w:before="240" w:after="0"/>
        <w:jc w:val="left"/>
        <w:rPr/>
      </w:pPr>
      <w:r>
        <w:rPr/>
        <w:t>“</w:t>
      </w:r>
      <w:r>
        <w:rPr>
          <w:rFonts w:ascii="Times New Roman" w:hAnsi="Times New Roman"/>
          <w:sz w:val="20"/>
        </w:rPr>
        <w:t xml:space="preserve">holder,” “holder of Securities,” “securityholder” or other similar term shall mean in the case of any Registered Security, the person in whose name such Security is registered in the Security Register kept by the Company for that purpose, in accordance with the terms hereof. </w:t>
      </w:r>
    </w:p>
    <w:p>
      <w:pPr>
        <w:pStyle w:val="TextBody"/>
        <w:bidi w:val="0"/>
        <w:spacing w:before="240" w:after="0"/>
        <w:jc w:val="left"/>
        <w:rPr/>
      </w:pPr>
      <w:r>
        <w:rPr/>
        <w:t>“</w:t>
      </w:r>
      <w:r>
        <w:rPr>
          <w:rFonts w:ascii="Times New Roman" w:hAnsi="Times New Roman"/>
          <w:sz w:val="20"/>
        </w:rPr>
        <w:t xml:space="preserve">Indebtedness” means, without duplication, the principal, premium, if any, unpaid interest (including interest accruing on or after the filing of any petition in bankruptcy or for reorganization relating to the Company whether or not a claim for post-filing interest is allowed in such proceeding), fees, charges, expenses, reimbursement and indemnification obligations, and all other amounts payable under or in respect of the following indebtedness of the Company, whether any such indebtedness exists as of the date of the Indenture or is created, incurred or assumed after such date: (i) all obligations for borrowed money, (ii) all obligations evidenced by debentures, Securities or other similar instruments, (iii) all obligations in respect of letters of credit or bankers acceptances or similar instruments (or reimbursement obligations with respect thereto), (iv) all obligations to pay the deferred purchase price of property or services, except trade accounts payable arising in the ordinary course of business, (v) all indebtedness of others guaranteed by the Company or any of its Subsidiaries or for which the Company or any of its Subsidiaries is legally responsible or liable (whether by agreement to purchase indebtedness of, or to supply funds or to invest in, others) and (vi) indebtedness secured by any mortgage, pledge, lien, charge, encumbrance or any security interest existing on property owned by the Company but excluding any obligations of the Company which are required (as opposed to elected to be treated) as capitalized leases under United States generally accepted accounting principles. </w:t>
      </w:r>
    </w:p>
    <w:p>
      <w:pPr>
        <w:pStyle w:val="TextBody"/>
        <w:bidi w:val="0"/>
        <w:spacing w:before="240" w:after="0"/>
        <w:jc w:val="left"/>
        <w:rPr/>
      </w:pPr>
      <w:r>
        <w:rPr/>
        <w:t>“</w:t>
      </w:r>
      <w:r>
        <w:rPr>
          <w:rFonts w:ascii="Times New Roman" w:hAnsi="Times New Roman"/>
          <w:sz w:val="20"/>
        </w:rPr>
        <w:t xml:space="preserve">Indenture” shall mean this instrument as originally executed and delivered or as it may from time to time be supplemented or amended by one or more indentures supplemental hereto entered into pursuant to the applicable provisions hereof, including without limitation, the forms and terms of particular series of Securities established as contemplated by Article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Material Subsidiary” means First Merchants Bank, or any successor thereof or any Subsidiary of the Company that is a depository institution and that has consolidated assets equal to 80% or more of the Company’s consolidated assets. </w:t>
      </w:r>
    </w:p>
    <w:p>
      <w:pPr>
        <w:pStyle w:val="TextBody"/>
        <w:bidi w:val="0"/>
        <w:spacing w:before="240" w:after="0"/>
        <w:jc w:val="left"/>
        <w:rPr/>
      </w:pPr>
      <w:r>
        <w:rPr/>
        <w:t>“</w:t>
      </w:r>
      <w:r>
        <w:rPr>
          <w:rFonts w:ascii="Times New Roman" w:hAnsi="Times New Roman"/>
          <w:sz w:val="20"/>
        </w:rPr>
        <w:t xml:space="preserve">Officer’s Certificate” shall mean a certificate signed by the Chief Executive Officer, President or other principal executive officer, or the Chief Financial Officer or other principal financial officer or principal accounting officer, Assistant Secretary, Treasurer or Controller of the Company and delivered to the Trustee. </w:t>
      </w:r>
    </w:p>
    <w:p>
      <w:pPr>
        <w:pStyle w:val="TextBody"/>
        <w:bidi w:val="0"/>
        <w:spacing w:before="240" w:after="0"/>
        <w:jc w:val="left"/>
        <w:rPr/>
      </w:pPr>
      <w:r>
        <w:rPr/>
        <w:t>“</w:t>
      </w:r>
      <w:r>
        <w:rPr>
          <w:rFonts w:ascii="Times New Roman" w:hAnsi="Times New Roman"/>
          <w:sz w:val="20"/>
        </w:rPr>
        <w:t xml:space="preserve">Opinion of Counsel” shall mean an opinion in writing signed by legal counsel, who may be an employee of or counsel to the Company and who shall be reasonably satisfactory to the Trustee, or who may be other counsel reasonably satisfactory to the Trustee. </w:t>
      </w:r>
    </w:p>
    <w:p>
      <w:pPr>
        <w:pStyle w:val="TextBody"/>
        <w:bidi w:val="0"/>
        <w:spacing w:before="240" w:after="0"/>
        <w:jc w:val="left"/>
        <w:rPr/>
      </w:pPr>
      <w:r>
        <w:rPr/>
        <w:t>“</w:t>
      </w:r>
      <w:r>
        <w:rPr>
          <w:rFonts w:ascii="Times New Roman" w:hAnsi="Times New Roman"/>
          <w:sz w:val="20"/>
        </w:rPr>
        <w:t xml:space="preserve">Original Issue Discount Securities” shall mean any Securities that are initially sold at a discount from the principal amount thereof and that provide upon an Event of Default for declaration of an amount less than the principal amount thereof to be due and payable upon acceleration thereof. </w:t>
      </w:r>
    </w:p>
    <w:p>
      <w:pPr>
        <w:pStyle w:val="TextBody"/>
        <w:bidi w:val="0"/>
        <w:spacing w:before="240" w:after="0"/>
        <w:jc w:val="left"/>
        <w:rPr/>
      </w:pPr>
      <w:r>
        <w:rPr/>
        <w:t>“</w:t>
      </w:r>
      <w:r>
        <w:rPr>
          <w:rFonts w:ascii="Times New Roman" w:hAnsi="Times New Roman"/>
          <w:sz w:val="20"/>
        </w:rPr>
        <w:t xml:space="preserve">Outstanding” or “outstanding,” when used with reference to Securities, shall, subject to the provisions of Section 8.01 and Section 8.04, mean, as of any particular time, all Securities authenticated and delivered by the Trustee under this Indenture, except: </w:t>
      </w:r>
    </w:p>
    <w:p>
      <w:pPr>
        <w:pStyle w:val="TextBody"/>
        <w:bidi w:val="0"/>
        <w:spacing w:before="120" w:after="0"/>
        <w:jc w:val="left"/>
        <w:rPr>
          <w:rFonts w:ascii="Times New Roman" w:hAnsi="Times New Roman"/>
          <w:sz w:val="20"/>
        </w:rPr>
      </w:pPr>
      <w:r>
        <w:rPr>
          <w:rFonts w:ascii="Times New Roman" w:hAnsi="Times New Roman"/>
          <w:sz w:val="20"/>
        </w:rPr>
        <w:t xml:space="preserve">(a) Securities theretofore cancelled by the Trustee or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(b) Securities, or portions thereof, for the payment or redemption of which moneys in the necessary amount shall have been deposited in trust with the Trustee or with any paying agent (other than the Company) or shall have been set aside and segregated and held in trust by the Company (if the Company shall act as its own paying agent) for the holders of such Securities; provided, that if such Securities, or portions thereof, are to be redeemed prior to the maturity thereof, notice of such redemption shall have been given as provided in Article 3, or provision satisfactory to the Trustee shall have been made for giving such notice; </w:t>
      </w:r>
    </w:p>
    <w:p>
      <w:pPr>
        <w:pStyle w:val="TextBody"/>
        <w:bidi w:val="0"/>
        <w:spacing w:before="240" w:after="0"/>
        <w:jc w:val="left"/>
        <w:rPr>
          <w:rFonts w:ascii="Times New Roman" w:hAnsi="Times New Roman"/>
          <w:sz w:val="20"/>
        </w:rPr>
      </w:pPr>
      <w:r>
        <w:rPr>
          <w:rFonts w:ascii="Times New Roman" w:hAnsi="Times New Roman"/>
          <w:sz w:val="20"/>
        </w:rPr>
        <w:t xml:space="preserve">(c) Securities that have been defeased pursuant to Section 14.02 hereof; and </w:t>
      </w:r>
    </w:p>
    <w:p>
      <w:pPr>
        <w:pStyle w:val="TextBody"/>
        <w:bidi w:val="0"/>
        <w:spacing w:before="240" w:after="0"/>
        <w:jc w:val="left"/>
        <w:rPr>
          <w:rFonts w:ascii="Times New Roman" w:hAnsi="Times New Roman"/>
          <w:sz w:val="20"/>
        </w:rPr>
      </w:pPr>
      <w:r>
        <w:rPr>
          <w:rFonts w:ascii="Times New Roman" w:hAnsi="Times New Roman"/>
          <w:sz w:val="20"/>
        </w:rPr>
        <w:t xml:space="preserve">(d) Securities that have been paid, mutilated, destroyed, lost, or stolen and replaced pursuant to Section 2.09, or Securities in exchange for, in lieu of and in substitution for which other Securities shall have been authenticated and delivered pursuant to the terms of Section 2.07, unless proof satisfactory to the Trustee is presented that any such Securities are held by bona fide holders in due course. </w:t>
      </w:r>
    </w:p>
    <w:p>
      <w:pPr>
        <w:pStyle w:val="TextBody"/>
        <w:bidi w:val="0"/>
        <w:spacing w:before="240" w:after="0"/>
        <w:jc w:val="left"/>
        <w:rPr/>
      </w:pPr>
      <w:r>
        <w:rPr/>
        <w:t>“</w:t>
      </w:r>
      <w:r>
        <w:rPr>
          <w:rFonts w:ascii="Times New Roman" w:hAnsi="Times New Roman"/>
          <w:sz w:val="20"/>
        </w:rPr>
        <w:t xml:space="preserve">Periodic Offering” shall mean an offering of Securities of a series, from time to time, the specific terms of which (including, without limitation, the rate or rates of interest or formula for determining the rate or rates of interest thereon, if any, the maturity date or dates thereof and the redemption provisions, if any, with respect thereto) are to be determined by the Company upon the issuance of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Person” or “person” shall mean any individual, corporation, limited liability company, partnership, joint venture, association, joint stock company, trust, unincorporated organization or government or any agency or political subdivision thereof. </w:t>
      </w:r>
    </w:p>
    <w:p>
      <w:pPr>
        <w:pStyle w:val="TextBody"/>
        <w:bidi w:val="0"/>
        <w:spacing w:before="240" w:after="0"/>
        <w:jc w:val="left"/>
        <w:rPr/>
      </w:pPr>
      <w:r>
        <w:rPr/>
        <w:t>“</w:t>
      </w:r>
      <w:r>
        <w:rPr>
          <w:rFonts w:ascii="Times New Roman" w:hAnsi="Times New Roman"/>
          <w:sz w:val="20"/>
        </w:rPr>
        <w:t xml:space="preserve">Place of Payment,” when used with respect to the Securities of any series, means the place or places where, subject to the provisions of Section 4.02, the principal of (and premium, if any, on) and any interest on the Securities of that series are payable as specified as contemplated by Section 2.03. </w:t>
      </w:r>
    </w:p>
    <w:p>
      <w:pPr>
        <w:pStyle w:val="TextBody"/>
        <w:bidi w:val="0"/>
        <w:spacing w:before="240" w:after="0"/>
        <w:jc w:val="left"/>
        <w:rPr/>
      </w:pPr>
      <w:r>
        <w:rPr/>
        <w:t>“</w:t>
      </w:r>
      <w:r>
        <w:rPr>
          <w:rFonts w:ascii="Times New Roman" w:hAnsi="Times New Roman"/>
          <w:sz w:val="20"/>
        </w:rPr>
        <w:t xml:space="preserve">record date” as used with respect to any interest payment date shall have the meaning specified in Section 2.05. </w:t>
      </w:r>
    </w:p>
    <w:p>
      <w:pPr>
        <w:pStyle w:val="TextBody"/>
        <w:bidi w:val="0"/>
        <w:spacing w:before="240" w:after="0"/>
        <w:jc w:val="left"/>
        <w:rPr/>
      </w:pPr>
      <w:r>
        <w:rPr/>
        <w:t>“</w:t>
      </w:r>
      <w:r>
        <w:rPr>
          <w:rFonts w:ascii="Times New Roman" w:hAnsi="Times New Roman"/>
          <w:sz w:val="20"/>
        </w:rPr>
        <w:t xml:space="preserve">Registered Security” shall mean any Security established pursuant to Section 2.01 and Section 2.03 that is registered on the Security Register of the Company. </w:t>
      </w:r>
    </w:p>
    <w:p>
      <w:pPr>
        <w:pStyle w:val="TextBody"/>
        <w:bidi w:val="0"/>
        <w:spacing w:before="240" w:after="0"/>
        <w:jc w:val="left"/>
        <w:rPr/>
      </w:pPr>
      <w:r>
        <w:rPr/>
        <w:t>“</w:t>
      </w:r>
      <w:r>
        <w:rPr>
          <w:rFonts w:ascii="Times New Roman" w:hAnsi="Times New Roman"/>
          <w:sz w:val="20"/>
        </w:rPr>
        <w:t xml:space="preserve">Responsible Officer,” when used with respect to the Trustee, shall mean any officer within the Corporate Trust Office of the Trustee (or any successor group of the Trustee), including any Vice President, Assistant Vice President, Assistant Secretary or any other officer of the Trustee customarily performing functions similar to those performed by any of the above designated officers and also shall mean, with respect to a particular corporate trust matter, any other officer to whom such matter is referred because of such officer’s knowledge of and familiarity with the particular subject, and in each case, who has direct responsibility for the administration of this Indenture. </w:t>
      </w:r>
    </w:p>
    <w:p>
      <w:pPr>
        <w:pStyle w:val="TextBody"/>
        <w:bidi w:val="0"/>
        <w:spacing w:before="240" w:after="0"/>
        <w:jc w:val="left"/>
        <w:rPr/>
      </w:pPr>
      <w:r>
        <w:rPr/>
        <w:t>“</w:t>
      </w:r>
      <w:r>
        <w:rPr>
          <w:rFonts w:ascii="Times New Roman" w:hAnsi="Times New Roman"/>
          <w:sz w:val="20"/>
        </w:rPr>
        <w:t xml:space="preserve">Securities” shall have the meaning set forth in the preamble of this Indenture. </w:t>
      </w:r>
    </w:p>
    <w:p>
      <w:pPr>
        <w:pStyle w:val="TextBody"/>
        <w:bidi w:val="0"/>
        <w:spacing w:before="240" w:after="0"/>
        <w:jc w:val="left"/>
        <w:rPr/>
      </w:pPr>
      <w:r>
        <w:rPr/>
        <w:t>“</w:t>
      </w:r>
      <w:r>
        <w:rPr>
          <w:rFonts w:ascii="Times New Roman" w:hAnsi="Times New Roman"/>
          <w:sz w:val="20"/>
        </w:rPr>
        <w:t xml:space="preserve">Securities Act” shall mean the Securities Act of 1933, as amended. </w:t>
      </w:r>
    </w:p>
    <w:p>
      <w:pPr>
        <w:pStyle w:val="TextBody"/>
        <w:bidi w:val="0"/>
        <w:spacing w:before="240" w:after="0"/>
        <w:jc w:val="left"/>
        <w:rPr/>
      </w:pPr>
      <w:r>
        <w:rPr/>
        <w:t>“</w:t>
      </w:r>
      <w:r>
        <w:rPr>
          <w:rFonts w:ascii="Times New Roman" w:hAnsi="Times New Roman"/>
          <w:sz w:val="20"/>
        </w:rPr>
        <w:t xml:space="preserve">Security Register” and “Security Registrar” shall have the respective meanings set forth in Section 2.07(a) hereof. </w:t>
      </w:r>
    </w:p>
    <w:p>
      <w:pPr>
        <w:pStyle w:val="TextBody"/>
        <w:bidi w:val="0"/>
        <w:spacing w:before="240" w:after="0"/>
        <w:jc w:val="left"/>
        <w:rPr/>
      </w:pPr>
      <w:r>
        <w:rPr/>
        <w:t>“</w:t>
      </w:r>
      <w:r>
        <w:rPr>
          <w:rFonts w:ascii="Times New Roman" w:hAnsi="Times New Roman"/>
          <w:sz w:val="20"/>
        </w:rPr>
        <w:t xml:space="preserve">series” or “series of Securities” means each series of debentures, notes or other debt instruments of the Company created pursuant to Sections 2.01 and 2.03. </w:t>
      </w:r>
    </w:p>
    <w:p>
      <w:pPr>
        <w:pStyle w:val="TextBody"/>
        <w:bidi w:val="0"/>
        <w:spacing w:before="240" w:after="0"/>
        <w:jc w:val="left"/>
        <w:rPr/>
      </w:pPr>
      <w:r>
        <w:rPr/>
        <w:t>“</w:t>
      </w:r>
      <w:r>
        <w:rPr>
          <w:rFonts w:ascii="Times New Roman" w:hAnsi="Times New Roman"/>
          <w:sz w:val="20"/>
        </w:rPr>
        <w:t xml:space="preserve">Subsidiary” shall mean, in respect of any Person, any corporation, association, partnership, limited liability company or other business entity of which more than 50% of the total voting power of shares of Capital Stock or other interests (including partnership interests) entitled (without regard to the occurrence of any contingency) to vote in the election of directors, managers or trustees thereof is at the time owned or controlled, directly or indirectly, by (a) such Person, (b) such Person and one or more Subsidiaries of such Person or (c) one or more Subsidiaries of such Person. </w:t>
      </w:r>
    </w:p>
    <w:p>
      <w:pPr>
        <w:pStyle w:val="TextBody"/>
        <w:bidi w:val="0"/>
        <w:spacing w:before="240" w:after="0"/>
        <w:jc w:val="left"/>
        <w:rPr/>
      </w:pPr>
      <w:r>
        <w:rPr/>
        <w:t>“</w:t>
      </w:r>
      <w:r>
        <w:rPr>
          <w:rFonts w:ascii="Times New Roman" w:hAnsi="Times New Roman"/>
          <w:sz w:val="20"/>
        </w:rPr>
        <w:t xml:space="preserve">Trust Indenture Act,” except as otherwise provided in this Indenture, shall mean the Trust Indenture Act of 1939, as amended, as in force at the date of this Indenture as originally executed.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Trustee” shall mean the person identified as “Trustee” in the first paragraph hereof until the acceptance of appointment of a successor trustee pursuant to the provisions of Article 7, and thereafter shall mean such successor trustee. </w:t>
      </w:r>
    </w:p>
    <w:p>
      <w:pPr>
        <w:pStyle w:val="TextBody"/>
        <w:bidi w:val="0"/>
        <w:spacing w:before="240" w:after="0"/>
        <w:jc w:val="left"/>
        <w:rPr/>
      </w:pPr>
      <w:r>
        <w:rPr/>
        <w:t>“</w:t>
      </w:r>
      <w:r>
        <w:rPr>
          <w:rFonts w:ascii="Times New Roman" w:hAnsi="Times New Roman"/>
          <w:sz w:val="20"/>
        </w:rPr>
        <w:t xml:space="preserve">United States Alien” shall mean any person who, for United States federal income tax purposes, is a foreign corporation, a non-resident alien individual, a non-resident alien fiduciary of a foreign estate or trust, or a foreign partnership to the extent that one or more of its members is, for United States federal income tax purposes, a foreign corporation, a non-resident alien individual or a non-resident alien fiduciary of a foreign estate or trust. </w:t>
      </w:r>
    </w:p>
    <w:p>
      <w:pPr>
        <w:pStyle w:val="TextBody"/>
        <w:bidi w:val="0"/>
        <w:spacing w:before="240" w:after="0"/>
        <w:jc w:val="left"/>
        <w:rPr/>
      </w:pPr>
      <w:r>
        <w:rPr/>
        <w:t>“</w:t>
      </w:r>
      <w:r>
        <w:rPr>
          <w:rFonts w:ascii="Times New Roman" w:hAnsi="Times New Roman"/>
          <w:sz w:val="20"/>
        </w:rPr>
        <w:t xml:space="preserve">USA PATRIOT Act” shall have the meaning set forth in Section 15.12 hereof. </w:t>
      </w:r>
    </w:p>
    <w:p>
      <w:pPr>
        <w:pStyle w:val="TextBody"/>
        <w:bidi w:val="0"/>
        <w:spacing w:before="240" w:after="0"/>
        <w:jc w:val="left"/>
        <w:rPr/>
      </w:pPr>
      <w:r>
        <w:rPr/>
        <w:t>“</w:t>
      </w:r>
      <w:r>
        <w:rPr>
          <w:rFonts w:ascii="Times New Roman" w:hAnsi="Times New Roman"/>
          <w:sz w:val="20"/>
        </w:rPr>
        <w:t xml:space="preserve">Vice President” when used with respect to the Company or the Trustee shall mean any vice president, whether or not designated by a number or word or words added before or after the title “vice president,” including any Executive Vice President or Senior Vice President.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1.02. Incorporation by Reference of Trust Indenture Act. </w:t>
      </w:r>
      <w:r>
        <w:rPr>
          <w:rFonts w:ascii="Times New Roman" w:hAnsi="Times New Roman"/>
          <w:sz w:val="20"/>
        </w:rPr>
        <w:t xml:space="preserve">Whenever this Indenture refers to a provision of the Trust Indenture Act, such provision is hereby incorporated by reference in, and made a part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Trust Indenture Act terms used in this Indenture have the following meanings: </w:t>
      </w:r>
    </w:p>
    <w:p>
      <w:pPr>
        <w:pStyle w:val="TextBody"/>
        <w:bidi w:val="0"/>
        <w:spacing w:before="120" w:after="0"/>
        <w:jc w:val="left"/>
        <w:rPr/>
      </w:pPr>
      <w:r>
        <w:rPr/>
        <w:t>“</w:t>
      </w:r>
      <w:r>
        <w:rPr>
          <w:rFonts w:ascii="Times New Roman" w:hAnsi="Times New Roman"/>
          <w:b/>
          <w:sz w:val="20"/>
        </w:rPr>
        <w:t>indenture securities</w:t>
      </w:r>
      <w:r>
        <w:rPr>
          <w:rFonts w:ascii="Times New Roman" w:hAnsi="Times New Roman"/>
          <w:sz w:val="20"/>
        </w:rPr>
        <w:t xml:space="preserve">” means the Securities; </w:t>
      </w:r>
    </w:p>
    <w:p>
      <w:pPr>
        <w:pStyle w:val="TextBody"/>
        <w:bidi w:val="0"/>
        <w:spacing w:before="240" w:after="0"/>
        <w:jc w:val="left"/>
        <w:rPr/>
      </w:pPr>
      <w:r>
        <w:rPr/>
        <w:t>“</w:t>
      </w:r>
      <w:r>
        <w:rPr>
          <w:rFonts w:ascii="Times New Roman" w:hAnsi="Times New Roman"/>
          <w:b/>
          <w:sz w:val="20"/>
        </w:rPr>
        <w:t>indenture security holder</w:t>
      </w:r>
      <w:r>
        <w:rPr>
          <w:rFonts w:ascii="Times New Roman" w:hAnsi="Times New Roman"/>
          <w:sz w:val="20"/>
        </w:rPr>
        <w:t xml:space="preserve">” means a Securityholder; </w:t>
      </w:r>
    </w:p>
    <w:p>
      <w:pPr>
        <w:pStyle w:val="TextBody"/>
        <w:bidi w:val="0"/>
        <w:spacing w:before="240" w:after="0"/>
        <w:jc w:val="left"/>
        <w:rPr/>
      </w:pPr>
      <w:r>
        <w:rPr/>
        <w:t>“</w:t>
      </w:r>
      <w:r>
        <w:rPr>
          <w:rFonts w:ascii="Times New Roman" w:hAnsi="Times New Roman"/>
          <w:b/>
          <w:sz w:val="20"/>
        </w:rPr>
        <w:t>indenture to be qualified</w:t>
      </w:r>
      <w:r>
        <w:rPr>
          <w:rFonts w:ascii="Times New Roman" w:hAnsi="Times New Roman"/>
          <w:sz w:val="20"/>
        </w:rPr>
        <w:t xml:space="preserve">” means this Indenture; </w:t>
      </w:r>
    </w:p>
    <w:p>
      <w:pPr>
        <w:pStyle w:val="TextBody"/>
        <w:bidi w:val="0"/>
        <w:spacing w:before="240" w:after="0"/>
        <w:jc w:val="left"/>
        <w:rPr/>
      </w:pPr>
      <w:r>
        <w:rPr/>
        <w:t>“</w:t>
      </w:r>
      <w:r>
        <w:rPr>
          <w:rFonts w:ascii="Times New Roman" w:hAnsi="Times New Roman"/>
          <w:b/>
          <w:sz w:val="20"/>
        </w:rPr>
        <w:t>indenture trustee</w:t>
      </w:r>
      <w:r>
        <w:rPr>
          <w:rFonts w:ascii="Times New Roman" w:hAnsi="Times New Roman"/>
          <w:sz w:val="20"/>
        </w:rPr>
        <w:t>” or “</w:t>
      </w:r>
      <w:r>
        <w:rPr>
          <w:rFonts w:ascii="Times New Roman" w:hAnsi="Times New Roman"/>
          <w:b/>
          <w:sz w:val="20"/>
        </w:rPr>
        <w:t>institutional trustee</w:t>
      </w:r>
      <w:r>
        <w:rPr>
          <w:rFonts w:ascii="Times New Roman" w:hAnsi="Times New Roman"/>
          <w:sz w:val="20"/>
        </w:rPr>
        <w:t xml:space="preserve">” means the Trustee; and </w:t>
      </w:r>
    </w:p>
    <w:p>
      <w:pPr>
        <w:pStyle w:val="TextBody"/>
        <w:bidi w:val="0"/>
        <w:spacing w:before="240" w:after="0"/>
        <w:jc w:val="left"/>
        <w:rPr/>
      </w:pPr>
      <w:r>
        <w:rPr/>
        <w:t>“</w:t>
      </w:r>
      <w:r>
        <w:rPr>
          <w:rFonts w:ascii="Times New Roman" w:hAnsi="Times New Roman"/>
          <w:b/>
          <w:sz w:val="20"/>
        </w:rPr>
        <w:t>obligor</w:t>
      </w:r>
      <w:r>
        <w:rPr>
          <w:rFonts w:ascii="Times New Roman" w:hAnsi="Times New Roman"/>
          <w:sz w:val="20"/>
        </w:rPr>
        <w:t xml:space="preserve">” on the indenture securities means the Company and any successor obligor upon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used in this Indenture that are defined by the Trust Indenture Act, defined by reference in the Trust Indenture Act to another statute or defined by Commission rule under the Trust Indenture Act and not otherwise defined herein, are used herein as so defined.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1.03. Rules of Construction. </w:t>
      </w:r>
      <w:r>
        <w:rPr>
          <w:rFonts w:ascii="Times New Roman" w:hAnsi="Times New Roman"/>
          <w:sz w:val="20"/>
        </w:rPr>
        <w:t xml:space="preserve">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(i) a term has the meaning assigned to it; </w:t>
      </w:r>
    </w:p>
    <w:p>
      <w:pPr>
        <w:pStyle w:val="TextBody"/>
        <w:bidi w:val="0"/>
        <w:spacing w:before="240" w:after="0"/>
        <w:jc w:val="left"/>
        <w:rPr>
          <w:rFonts w:ascii="Times New Roman" w:hAnsi="Times New Roman"/>
          <w:sz w:val="20"/>
        </w:rPr>
      </w:pPr>
      <w:r>
        <w:rPr>
          <w:rFonts w:ascii="Times New Roman" w:hAnsi="Times New Roman"/>
          <w:sz w:val="20"/>
        </w:rPr>
        <w:t xml:space="preserve">(ii) an accounting term not otherwise defined has the meaning assigned to it in accordance with generally accepted accounting principles as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(iii) references to “generally accepted accounting principles” shall mean generally accepted accounting principles in effect as of the time when and for the period as to which such accounting principles are to be applied; </w:t>
      </w:r>
    </w:p>
    <w:p>
      <w:pPr>
        <w:pStyle w:val="TextBody"/>
        <w:bidi w:val="0"/>
        <w:spacing w:before="240" w:after="0"/>
        <w:jc w:val="left"/>
        <w:rPr>
          <w:rFonts w:ascii="Times New Roman" w:hAnsi="Times New Roman"/>
          <w:sz w:val="20"/>
        </w:rPr>
      </w:pPr>
      <w:r>
        <w:rPr>
          <w:rFonts w:ascii="Times New Roman" w:hAnsi="Times New Roman"/>
          <w:sz w:val="20"/>
        </w:rPr>
        <w:t xml:space="preserve">(iv) “or” is not exclusive; and </w:t>
      </w:r>
    </w:p>
    <w:p>
      <w:pPr>
        <w:pStyle w:val="TextBody"/>
        <w:bidi w:val="0"/>
        <w:spacing w:before="240" w:after="0"/>
        <w:jc w:val="left"/>
        <w:rPr>
          <w:rFonts w:ascii="Times New Roman" w:hAnsi="Times New Roman"/>
          <w:sz w:val="20"/>
        </w:rPr>
      </w:pPr>
      <w:r>
        <w:rPr>
          <w:rFonts w:ascii="Times New Roman" w:hAnsi="Times New Roman"/>
          <w:sz w:val="20"/>
        </w:rPr>
        <w:t xml:space="preserve">(v) words in the singular include the plural, and words in the plural include the singular.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ISSUE, EXECUTION, REGISTRATION AND EXCHANGE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2.01. Amount Unlimited; Issuable in Series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execution of this Indenture, or from time to time thereafter, Securities up to the aggregate principal amount and containing terms and conditions from time to time authorized by or pursuant to a Board Resolution or in an indenture supplemental hereto or Officer’s Certificate, as set forth in Section 2.03, may be executed by the Company and delivered to the Trustee for authentication, and the Trustee shall thereupon authenticate and make available for delivery the Securities to or upon Company Order, without any further action by the Company but subject to the provisions of Section 2.03, and such Board Resolution, indenture supplemental hereto or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issued in one or more series. The aggregate principal amount of Securities of all series that may be authenticated and delivered and outstanding under this Indenture is not limited hereunder. The Securities of a particular series may be issued up to the aggregate principal amount of Securities for such series from time to time authorized by or pursuant to a Board Resolution.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2.02. Form of Trustee</w:t>
      </w:r>
      <w:r>
        <w:rPr>
          <w:rFonts w:ascii="Times New Roman" w:hAnsi="Times New Roman"/>
          <w:sz w:val="20"/>
        </w:rPr>
        <w:t>’</w:t>
      </w:r>
      <w:r>
        <w:rPr>
          <w:rFonts w:ascii="Times New Roman" w:hAnsi="Times New Roman"/>
          <w:b/>
          <w:sz w:val="20"/>
        </w:rPr>
        <w:t>s Certificate of Authentication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form of the Trustee’s certificate of authentication to be borne by the Securities shall be in substantially the following form: </w:t>
      </w:r>
    </w:p>
    <w:p>
      <w:pPr>
        <w:pStyle w:val="TextBody"/>
        <w:bidi w:val="0"/>
        <w:spacing w:before="240" w:after="0"/>
        <w:jc w:val="left"/>
        <w:rPr>
          <w:rFonts w:ascii="Times New Roman" w:hAnsi="Times New Roman"/>
          <w:sz w:val="20"/>
        </w:rPr>
      </w:pPr>
      <w:r>
        <w:rPr>
          <w:rFonts w:ascii="Times New Roman" w:hAnsi="Times New Roman"/>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3"/>
        <w:gridCol w:w="101"/>
        <w:gridCol w:w="408"/>
        <w:gridCol w:w="102"/>
        <w:gridCol w:w="306"/>
        <w:gridCol w:w="101"/>
        <w:gridCol w:w="4594"/>
      </w:tblGrid>
      <w:tr>
        <w:trPr/>
        <w:tc>
          <w:tcPr>
            <w:tcW w:w="459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4" w:type="dxa"/>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283"/>
              <w:jc w:val="left"/>
              <w:rPr/>
            </w:pPr>
            <w:r>
              <w:rPr/>
              <w:t>Dated:</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4"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 </w:t>
              <w:br/>
              <w:t>as Trustee</w:t>
            </w:r>
          </w:p>
        </w:tc>
      </w:tr>
      <w:tr>
        <w:trPr>
          <w:trHeight w:val="240" w:hRule="atLeast"/>
        </w:trPr>
        <w:tc>
          <w:tcPr>
            <w:tcW w:w="459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08" w:type="dxa"/>
            <w:gridSpan w:val="2"/>
            <w:tcBorders/>
            <w:vAlign w:val="center"/>
          </w:tcPr>
          <w:p>
            <w:pPr>
              <w:pStyle w:val="TableContents"/>
              <w:bidi w:val="0"/>
              <w:spacing w:before="0" w:after="283"/>
              <w:jc w:val="left"/>
              <w:rPr>
                <w:sz w:val="4"/>
                <w:szCs w:val="4"/>
              </w:rPr>
            </w:pPr>
            <w:r>
              <w:rPr>
                <w:sz w:val="4"/>
                <w:szCs w:val="4"/>
              </w:rPr>
            </w:r>
          </w:p>
        </w:tc>
        <w:tc>
          <w:tcPr>
            <w:tcW w:w="4695" w:type="dxa"/>
            <w:gridSpan w:val="2"/>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0"/>
              <w:jc w:val="left"/>
              <w:rPr>
                <w:rFonts w:ascii="Times New Roman" w:hAnsi="Times New Roman"/>
                <w:sz w:val="20"/>
              </w:rPr>
            </w:pPr>
            <w:r>
              <w:rPr>
                <w:rFonts w:ascii="Times New Roman" w:hAnsi="Times New Roman"/>
                <w:sz w:val="20"/>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594" w:type="dxa"/>
            <w:tcBorders>
              <w:bottom w:val="single" w:sz="2" w:space="0" w:color="000000"/>
            </w:tcBorders>
            <w:tcMar>
              <w:bottom w:w="28" w:type="dxa"/>
            </w:tcMar>
          </w:tcPr>
          <w:p>
            <w:pPr>
              <w:pStyle w:val="TableContents"/>
              <w:bidi w:val="0"/>
              <w:spacing w:before="0" w:after="283"/>
              <w:jc w:val="left"/>
              <w:rPr/>
            </w:pPr>
            <w:r>
              <w:rPr/>
              <w:t> </w:t>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4" w:type="dxa"/>
            <w:tcBorders/>
          </w:tcPr>
          <w:p>
            <w:pPr>
              <w:pStyle w:val="TableContents"/>
              <w:bidi w:val="0"/>
              <w:spacing w:before="0" w:after="20"/>
              <w:jc w:val="left"/>
              <w:rPr>
                <w:rFonts w:ascii="Times New Roman" w:hAnsi="Times New Roman"/>
                <w:sz w:val="20"/>
              </w:rPr>
            </w:pPr>
            <w:r>
              <w:rPr>
                <w:rFonts w:ascii="Times New Roman" w:hAnsi="Times New Roman"/>
                <w:sz w:val="20"/>
              </w:rPr>
              <w:t>Authorized Signatory</w:t>
            </w:r>
          </w:p>
        </w:tc>
      </w:tr>
    </w:tbl>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2.03. Form of Securities Generally; Establishment of Terms of Series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Registered Securities, if any, of each series, the temporary global Securities of each series, if any, and the permanent global Securities of each series, if any, shall be in the forms established from time to time in or pursuant to one or more Board Resolutions, indenture supplemental hereto or Officer’s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Securities may be issued in typewritten, printed or engraved form with such letters, numbers or other marks of identification or designation (including CUSIP numbers, if then generally in use)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stock exchange on which the Securities may be listed, or to conform to usage. </w:t>
      </w:r>
    </w:p>
    <w:p>
      <w:pPr>
        <w:pStyle w:val="TextBody"/>
        <w:bidi w:val="0"/>
        <w:spacing w:before="240" w:after="0"/>
        <w:jc w:val="left"/>
        <w:rPr>
          <w:rFonts w:ascii="Times New Roman" w:hAnsi="Times New Roman"/>
          <w:sz w:val="20"/>
        </w:rPr>
      </w:pPr>
      <w:r>
        <w:rPr>
          <w:rFonts w:ascii="Times New Roman" w:hAnsi="Times New Roman"/>
          <w:sz w:val="20"/>
        </w:rPr>
        <w:t xml:space="preserve">(b) At or prior to the initial issuance of Securities of any series, the particular terms of Securities of such series shall be established in or pursuant to one or more Board Resolutions , in an Officer’s Certificate (to which shall be attached true and correct copies of the relevant Board Resolution(s)) detailing such establishment) or established in an indenture supplemental hereto, including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the designation of the particular series (which shall distinguish such series from all other series); </w:t>
      </w:r>
    </w:p>
    <w:p>
      <w:pPr>
        <w:pStyle w:val="TextBody"/>
        <w:bidi w:val="0"/>
        <w:spacing w:before="240" w:after="0"/>
        <w:jc w:val="left"/>
        <w:rPr>
          <w:rFonts w:ascii="Times New Roman" w:hAnsi="Times New Roman"/>
          <w:sz w:val="20"/>
        </w:rPr>
      </w:pPr>
      <w:r>
        <w:rPr>
          <w:rFonts w:ascii="Times New Roman" w:hAnsi="Times New Roman"/>
          <w:sz w:val="20"/>
        </w:rPr>
        <w:t xml:space="preserve">(2) the price or prices (which may be expressed as a percentage of the aggregate principal amount of the Securities being issued) at which the Securities of the series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(3) the aggregate principal amount of such series that may be authenticated and delivered under this Indenture (except for Securities authenticated and delivered upon registration of transfer of, or in exchange for, or in lieu of, other Securities of the series pursuant to this Indenture and except for any Securities which, pursuant to Section 2.06, are deemed never to have been authenticated and delivered hereunder); </w:t>
      </w:r>
    </w:p>
    <w:p>
      <w:pPr>
        <w:pStyle w:val="TextBody"/>
        <w:bidi w:val="0"/>
        <w:spacing w:before="240" w:after="0"/>
        <w:jc w:val="left"/>
        <w:rPr>
          <w:rFonts w:ascii="Times New Roman" w:hAnsi="Times New Roman"/>
          <w:sz w:val="20"/>
        </w:rPr>
      </w:pPr>
      <w:r>
        <w:rPr>
          <w:rFonts w:ascii="Times New Roman" w:hAnsi="Times New Roman"/>
          <w:sz w:val="20"/>
        </w:rPr>
        <w:t xml:space="preserve">(4) whether Securities of the series are to be issuable as Registered Securities, whether any Securities of the series are to be issuable initially in temporary global form and, if so, the name of the Depositary with respect to any such temporary global Security, and whether any Securities of the series are to be issuable in permanent global form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2.07 and the name of the Depositary with respect to any such permanent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(5) the date as of which any temporary Security in global form representing Outstanding Securities of such series shall be dated, if other than the date of original issuance of the first Securities of the series to be issued; </w:t>
      </w:r>
    </w:p>
    <w:p>
      <w:pPr>
        <w:pStyle w:val="TextBody"/>
        <w:bidi w:val="0"/>
        <w:spacing w:before="240" w:after="0"/>
        <w:jc w:val="left"/>
        <w:rPr>
          <w:rFonts w:ascii="Times New Roman" w:hAnsi="Times New Roman"/>
          <w:sz w:val="20"/>
        </w:rPr>
      </w:pPr>
      <w:r>
        <w:rPr>
          <w:rFonts w:ascii="Times New Roman" w:hAnsi="Times New Roman"/>
          <w:sz w:val="20"/>
        </w:rPr>
        <w:t xml:space="preserve">(6) the person to whom any interest on any Registered Security of the series shall be payable, if other than the person in whose name that Security (or one or more predecessor Securities) is registered at the close of business on the regular record date for such interest, the extent to which, or the manner in which, any interest payable on a temporary global Security on an interest payment date will be paid if other than in the manner provided in Section 2.05 and the extent to which, or the manner in which, any interest payable on a permanent global Security on an interest payment date will be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the date or dates on which the principal of the Securities of such series is payable; </w:t>
      </w:r>
    </w:p>
    <w:p>
      <w:pPr>
        <w:pStyle w:val="TextBody"/>
        <w:bidi w:val="0"/>
        <w:spacing w:before="240" w:after="0"/>
        <w:jc w:val="left"/>
        <w:rPr>
          <w:rFonts w:ascii="Times New Roman" w:hAnsi="Times New Roman"/>
          <w:sz w:val="20"/>
        </w:rPr>
      </w:pPr>
      <w:r>
        <w:rPr>
          <w:rFonts w:ascii="Times New Roman" w:hAnsi="Times New Roman"/>
          <w:sz w:val="20"/>
        </w:rPr>
        <w:t xml:space="preserve">(8) the rate or rates, and if applicable the method used to determine the rate, at which the Securities of such series shall bear interest, if any, the date or dates from which such interest shall accrue, the date or dates on which such interest shall be payable and the record date or dates for the interest payable on any Registered Securities on any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(9) the place or places at which, subject to the provisions of Section 4.02, the principal of (and premium, if any, on) and any interest on Securities of such series shall be payable, any Registered Securities of the series may be surrendered for registration of transfer, Securities of the series may be surrendered for exchange and notices and demands to or upon the Company in respect of the Securities of the series and this Indenture may be served; </w:t>
      </w:r>
    </w:p>
    <w:p>
      <w:pPr>
        <w:pStyle w:val="TextBody"/>
        <w:bidi w:val="0"/>
        <w:spacing w:before="240" w:after="0"/>
        <w:jc w:val="left"/>
        <w:rPr>
          <w:rFonts w:ascii="Times New Roman" w:hAnsi="Times New Roman"/>
          <w:sz w:val="20"/>
        </w:rPr>
      </w:pPr>
      <w:r>
        <w:rPr>
          <w:rFonts w:ascii="Times New Roman" w:hAnsi="Times New Roman"/>
          <w:sz w:val="20"/>
        </w:rPr>
        <w:t xml:space="preserve">(10) any provisions relating to the redemption or purchase Securities of such series, at the option of the Company or at the option of a holder thereof, pursuant to any sinking fund or other redemption provisions, the period or periods within which, the price or prices at which and the terms and conditions upon which Securities of the series may be so redeemed or purchased, in whole or in part, and any notice requirements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(11) if other than minimum denominations of $1,000 and any integral multiple thereof, the denominations in which any Registered Securities of such series shall be issuable; </w:t>
      </w:r>
    </w:p>
    <w:p>
      <w:pPr>
        <w:pStyle w:val="TextBody"/>
        <w:bidi w:val="0"/>
        <w:spacing w:before="240" w:after="0"/>
        <w:jc w:val="left"/>
        <w:rPr>
          <w:rFonts w:ascii="Times New Roman" w:hAnsi="Times New Roman"/>
          <w:sz w:val="20"/>
        </w:rPr>
      </w:pPr>
      <w:r>
        <w:rPr>
          <w:rFonts w:ascii="Times New Roman" w:hAnsi="Times New Roman"/>
          <w:sz w:val="20"/>
        </w:rPr>
        <w:t xml:space="preserve">(12) if other than the principal amount thereof, the portion of the principal amount of Securities of such series which shall be payable upon declaration of acceleration of the maturity thereof; </w:t>
      </w:r>
    </w:p>
    <w:p>
      <w:pPr>
        <w:pStyle w:val="TextBody"/>
        <w:bidi w:val="0"/>
        <w:spacing w:before="240" w:after="0"/>
        <w:jc w:val="left"/>
        <w:rPr>
          <w:rFonts w:ascii="Times New Roman" w:hAnsi="Times New Roman"/>
          <w:sz w:val="20"/>
        </w:rPr>
      </w:pPr>
      <w:r>
        <w:rPr>
          <w:rFonts w:ascii="Times New Roman" w:hAnsi="Times New Roman"/>
          <w:sz w:val="20"/>
        </w:rPr>
        <w:t xml:space="preserve">(13) the currency, currencies or currency units in which payment of the principal of (and premium, if any, on) and any interest on any Securities of the series shall be payable if other than the currency of the United States of America and the manner of determining the equivalent thereof in the currency of the United States of America for purposes of the definition of “Outstanding” in Section 1.01; </w:t>
      </w:r>
    </w:p>
    <w:p>
      <w:pPr>
        <w:pStyle w:val="TextBody"/>
        <w:bidi w:val="0"/>
        <w:spacing w:before="240" w:after="0"/>
        <w:jc w:val="left"/>
        <w:rPr>
          <w:rFonts w:ascii="Times New Roman" w:hAnsi="Times New Roman"/>
          <w:sz w:val="20"/>
        </w:rPr>
      </w:pPr>
      <w:r>
        <w:rPr>
          <w:rFonts w:ascii="Times New Roman" w:hAnsi="Times New Roman"/>
          <w:sz w:val="20"/>
        </w:rPr>
        <w:t xml:space="preserve">(14) if the principal of (and premium, if any, on) or any interest on the Securities of the series is to be payable, at the election of the Company or a holder thereof, in one or more currencies or currency units, other than that or those in which the Securities are stated to be payable, the currency or currencies in which payment of the principal of (and premium, if any, on) and any interest on Securities of such series as to which such election is made shall be payable, and the periods within which and the terms and conditions upon which such election is to be made; </w:t>
      </w:r>
    </w:p>
    <w:p>
      <w:pPr>
        <w:pStyle w:val="TextBody"/>
        <w:bidi w:val="0"/>
        <w:spacing w:before="240" w:after="0"/>
        <w:jc w:val="left"/>
        <w:rPr>
          <w:rFonts w:ascii="Times New Roman" w:hAnsi="Times New Roman"/>
          <w:sz w:val="20"/>
        </w:rPr>
      </w:pPr>
      <w:r>
        <w:rPr>
          <w:rFonts w:ascii="Times New Roman" w:hAnsi="Times New Roman"/>
          <w:sz w:val="20"/>
        </w:rPr>
        <w:t xml:space="preserve">(15) if the amount of payments of principal of (and premium, if any, on) or any interest on the Securities of the series may be determined with reference to an index, the manner in which such amounts shall be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whether the Securities will be issued in book-entry only form; </w:t>
      </w:r>
    </w:p>
    <w:p>
      <w:pPr>
        <w:pStyle w:val="TextBody"/>
        <w:bidi w:val="0"/>
        <w:spacing w:before="240" w:after="0"/>
        <w:jc w:val="left"/>
        <w:rPr>
          <w:rFonts w:ascii="Times New Roman" w:hAnsi="Times New Roman"/>
          <w:sz w:val="20"/>
        </w:rPr>
      </w:pPr>
      <w:r>
        <w:rPr>
          <w:rFonts w:ascii="Times New Roman" w:hAnsi="Times New Roman"/>
          <w:sz w:val="20"/>
        </w:rPr>
        <w:t xml:space="preserve">(17) any interest rate calculation agents, exchange rate calculation agents or other agents with respect to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(18) if either or both of Section 14.02 and Section 14.03 do not apply to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(19) whether and under what circumstances the Company will pay Additional Amounts in respect of any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(20) any provisions relating to the extension of maturity of, or the renewal of, Securities of such series, or the conversion of Securities of such series into other securities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(21) the terms and conditions, if any, pursuant to which the Securities of the series are secured; </w:t>
      </w:r>
    </w:p>
    <w:p>
      <w:pPr>
        <w:pStyle w:val="TextBody"/>
        <w:bidi w:val="0"/>
        <w:spacing w:before="240" w:after="0"/>
        <w:jc w:val="left"/>
        <w:rPr>
          <w:rFonts w:ascii="Times New Roman" w:hAnsi="Times New Roman"/>
          <w:sz w:val="20"/>
        </w:rPr>
      </w:pPr>
      <w:r>
        <w:rPr>
          <w:rFonts w:ascii="Times New Roman" w:hAnsi="Times New Roman"/>
          <w:sz w:val="20"/>
        </w:rPr>
        <w:t xml:space="preserve">(22) any additional or modified Events of Default from those in this Indenture, and any change in the acceleration provisions in this Indenture, with respect to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(23) any additional or modified covenants from those in this Indenture with respect to the debt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(24) any other terms of the Securities or provisions relating to the payment of principal of, premium (if any), or interest thereon, including, but not limited to, whether such Securities are issuable at a discount or premium, as amortizable Securities, and if payable in, convertible or exchangeable for commodities or for the securities of the Company or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need not be issued at the same time and may be issued from time to time, consistent with the terms of this Indenture, if so provided by or pursuant to the Board Resolution or Officer’s Certificate referred to above or as set forth in an indenture supplemental hereto, and, unless otherwise provided, the authorized principal amount of any series may be increased to provide for issuances of additional Securities of such series. If so provided by or pursuant to the Board Resolution or Officer’s Certificate or supplemental indenture referred to above, the terms of such Securities to be issued from time to time may be determined as set forth in such Board Resolution, Officer’s Certificate or supplemental indenture, as the case may be. All Securities of any one series shall be substantially identical except as to denomination, interest rate, maturity and other similar terms and except as may be provided otherwise by or pursuant to such Board Resolution, Officer’s Certificate or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2.04. Securities in Global Form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Securities of a series are issuable in global form, as specified as contemplated by Section 2.03, then, notwithstanding clause (11) of Section 2.03(b) and the provisions of Section 2.05, any such Security in global form shall represent such of the Securities of such series Outstanding as shall be specified therein, and any such Security in global form may provide that it shall represent the aggregate amount of Securities Outstanding from time to time endorsed thereon and that the aggregate amount of Securities Outstanding represented thereby may from time to time be reduced to reflect any exchanges of beneficial interests in such Security in global form for Securities of such series as contemplated herein. Any endorsement of a Security in global form to reflect the amount, or any decrease in the amount, of Securities Outstanding represented thereby shall be made by the Trustee or the Security Registrar in such manner and upon instructions given by such person or persons as shall be specified in such Security in global form or in the Company Order to be delivered to the Trustee pursuant to Section 2.06 or Section 2.08. Subject to the provisions of Section 2.06 and, if applicable, Section 2.08, the Trustee or the Security Registrar shall deliver and redeliver any Security in permanent global form in the manner and upon instructions given by the person or persons specified in such Security in global form or in the applicable Company Order. If a Company Order pursuant to Section 2.06 or Section 2.08 has been, or simultaneously is, delivered, any instructions by the Company with respect to endorsement or delivery or redelivery of a Security in global form shall be in writing but need not be represented by a Company Order and need not be accompanied by an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last sentence of Section 2.06 shall apply to any Security represented by a Security in global form if such Security was never issued and sold by the Company and the Company delivers to the Trustee or the Security Registrar the Security in global form together with written instructions (which need not be represented by a Company Order and need not be accompanied by an Opinion of Counsel) with regard to the reduction in the principal amount of Securities represented thereby, together with the written statement contemplated by the last sentence of Section 2.06.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Section 2.05, unless otherwise specified as contemplated by Section 2.03, payment of principal of and any premium and interest on any Security in permanent global form shall be made to the persons or persons specified therein.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2.05. Denominations; Record Date; Payment of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provided as contemplated by Section 2.03 with respect to any series of Securities, any Registered Securities of a series shall be issuable in minimum denominations of $1,000. </w:t>
      </w:r>
    </w:p>
    <w:p>
      <w:pPr>
        <w:pStyle w:val="TextBody"/>
        <w:bidi w:val="0"/>
        <w:spacing w:before="240" w:after="0"/>
        <w:jc w:val="left"/>
        <w:rPr>
          <w:rFonts w:ascii="Times New Roman" w:hAnsi="Times New Roman"/>
          <w:sz w:val="20"/>
        </w:rPr>
      </w:pPr>
      <w:r>
        <w:rPr>
          <w:rFonts w:ascii="Times New Roman" w:hAnsi="Times New Roman"/>
          <w:sz w:val="20"/>
        </w:rPr>
        <w:t xml:space="preserve">(b) The term “record date” as used with respect to an interest payment date for any series of a Registered Security shall mean such day or days as shall be specified as contemplated by Section 2.03; provided, that in the absence of any such provisions with respect to any series, such term shall mean (1) the last day of the calendar month next preceding such interest payment date if such interest payment date is the 15th day of a calendar month; or (2) the 15th day of a calendar month next preceding such interest payment date if such interest payment date is the first day of the calendar month.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provided as contemplated by Section 2.03 with respect to any series of Securities, the person in whose name any Registered Security is registered at the close of business on the record date with respect to an interest payment date shall be entitled to receive the interest payable on such interest payment date notwithstanding the cancellation of such Security upon any registration of transfer or exchange thereof subsequent to such record date prior to such interest payment date; provided, that if and to the extent the Company shall default in the payment of the interest due on such interest payment date, such defaulted interest shall be paid to the persons in whose names the Securities are registered on a subsequent record date established by notice given to the extent and in the manner set forth in Section 15.04 by or on behalf of the Company to the holders of Securities of the series in default not less than 15 days preceding such subsequent record date, such record date to be not less than five days preceding the date of payment of such defaulted interest, or in any other lawful manner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(c) Unless otherwise specified by Board Resolution or Company Order for a particular series of Securities, the principal of, redemption premium, if any, on and interest, if any, on the Securities of any series shall be payable at the office or agency of the Company maintained pursuant to Section 4.02 in a Place of Payment for such series, in Dollars; provided, that, at the option of the Company, payment of interest with respect to a Registered Security may be paid by check mailed to the holders of the Registered Securities entitled thereto at their last addresses as they appear on the Security Register or wired if held in book-entry form at the Depositary.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2.06. Execution, Authentication, Delivery and Dating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signed on behalf of the Company by its Chief Executive Officer, its President or one of its Vice Presidents. Such signatures may be the manual or facsimile signatures of such then current officers. </w:t>
      </w:r>
    </w:p>
    <w:p>
      <w:pPr>
        <w:pStyle w:val="TextBody"/>
        <w:bidi w:val="0"/>
        <w:spacing w:before="240" w:after="0"/>
        <w:jc w:val="left"/>
        <w:rPr>
          <w:rFonts w:ascii="Times New Roman" w:hAnsi="Times New Roman"/>
          <w:sz w:val="20"/>
        </w:rPr>
      </w:pPr>
      <w:r>
        <w:rPr>
          <w:rFonts w:ascii="Times New Roman" w:hAnsi="Times New Roman"/>
          <w:sz w:val="20"/>
        </w:rPr>
        <w:t xml:space="preserve">Any Security may be signed on behalf of the Company by such persons as, at the actual date of the execution of such Security, shall be the proper officers of the Company, although at the date of the execution of this Indenture any such person was not such officer. Securities bearing the manual or facsimile signatures of individuals who were, at the actual date of the execution of such Security, the proper officers of the Company shall bind the Company, notwithstanding that such individuals or any of them have ceased to hold such offices prior to the authentication and delivery of such Securities, as the case may be, or did not hold such offices at the date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Upon the execution and delivery of this Indenture, the Company shall deliver to the Trustee an Officer’s Certificate as to the incumbency and specimen signatures of officers authorized to execute and deliver the Securities and give instructions under this Section and, as long as Securities are Outstanding under this Indenture, such incumbency certificate shall be amended and replaced whenever an officer is to be added or deleted from the listing. The Trustee may conclusively rely on the documents delivered pursuant to this Section (unless revoked by superseding comparable documents) and Section 2.03 hereof as to the authorization of the Board of Directors of any Securities delivered hereunder, and the form and terms thereof, and as to the authority of the instructing officers referred to in this Section so to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shall at any time, and from time to time, authenticate Securities for original issue in an unlimited aggregate principal amount upon receipt by the Trustee of a Company Order; provided, that with respect to Securities of a series subject to a Periodic Offering, (a) such Company Order may be delivered to the Trustee prior to the delivery to the Trustee of such Securities for authentication and delivery, (b) the Trustee shall authenticate and deliver Securities of such series for original issue from time to time, in an aggregate principal amount not exceeding the aggregate principal amount, if any, established for such series, pursuant to a Company Order, and (c) the maturity date or dates, original issue date or dates, interest rate or rates and any other terms of Securities of such series shall be determined by Company Order or pursuant to such procedures. </w:t>
      </w:r>
    </w:p>
    <w:p>
      <w:pPr>
        <w:pStyle w:val="TextBody"/>
        <w:bidi w:val="0"/>
        <w:spacing w:before="240" w:after="0"/>
        <w:jc w:val="left"/>
        <w:rPr>
          <w:rFonts w:ascii="Times New Roman" w:hAnsi="Times New Roman"/>
          <w:sz w:val="20"/>
        </w:rPr>
      </w:pPr>
      <w:r>
        <w:rPr>
          <w:rFonts w:ascii="Times New Roman" w:hAnsi="Times New Roman"/>
          <w:sz w:val="20"/>
        </w:rPr>
        <w:t xml:space="preserve">Prior to the issuance of a Security of any new series, and the authentication thereof by the Trustee, the Trustee shall have received and (subject to Section 7.02) shall be fully protected in relying on: </w:t>
      </w:r>
    </w:p>
    <w:p>
      <w:pPr>
        <w:pStyle w:val="TextBody"/>
        <w:bidi w:val="0"/>
        <w:spacing w:before="120" w:after="0"/>
        <w:jc w:val="left"/>
        <w:rPr>
          <w:rFonts w:ascii="Times New Roman" w:hAnsi="Times New Roman"/>
          <w:sz w:val="20"/>
        </w:rPr>
      </w:pPr>
      <w:r>
        <w:rPr>
          <w:rFonts w:ascii="Times New Roman" w:hAnsi="Times New Roman"/>
          <w:sz w:val="20"/>
        </w:rPr>
        <w:t xml:space="preserve">(a) The Board Resolution or Officer’s Certificate or indenture supplemental hereto establishing the terms and the form of the Securities of that series pursuant to Section 2.01 and Section 2.03; </w:t>
      </w:r>
    </w:p>
    <w:p>
      <w:pPr>
        <w:pStyle w:val="TextBody"/>
        <w:bidi w:val="0"/>
        <w:spacing w:before="240" w:after="0"/>
        <w:jc w:val="left"/>
        <w:rPr>
          <w:rFonts w:ascii="Times New Roman" w:hAnsi="Times New Roman"/>
          <w:sz w:val="20"/>
        </w:rPr>
      </w:pPr>
      <w:r>
        <w:rPr>
          <w:rFonts w:ascii="Times New Roman" w:hAnsi="Times New Roman"/>
          <w:sz w:val="20"/>
        </w:rPr>
        <w:t xml:space="preserve">(b) An Officer’s Certificate stating that all conditions precedent provided for in this Indenture relating to the issuance, authentication and delivery of Securities in such form have been complied with; and </w:t>
      </w:r>
    </w:p>
    <w:p>
      <w:pPr>
        <w:pStyle w:val="TextBody"/>
        <w:bidi w:val="0"/>
        <w:spacing w:before="240" w:after="0"/>
        <w:jc w:val="left"/>
        <w:rPr>
          <w:rFonts w:ascii="Times New Roman" w:hAnsi="Times New Roman"/>
          <w:sz w:val="20"/>
        </w:rPr>
      </w:pPr>
      <w:r>
        <w:rPr>
          <w:rFonts w:ascii="Times New Roman" w:hAnsi="Times New Roman"/>
          <w:sz w:val="20"/>
        </w:rPr>
        <w:t xml:space="preserve">(c) An Opinion of Counsel stating that (i) the form and terms of such Securities have been established in conformity with the provisions of this Indenture, (ii) the Indenture and, if the authentication and delivery relates to a new series of Securities created by Board Resolution, indenture supplemental hereto or Officer’s Certificate, that such Board Resolution, indenture supplemental hereto or Officer’s Certificate, are the legal, valid and binding obligations of the Company enforceable against the Company in accordance with their terms, and (iii) such Securities, when executed and delivered by the Company to the Trustee for authentication in accordance with this Indenture, authenticated and delivered by the Trustee in accordance with this Indenture and issued by the Company, will constitute legal, valid and binding obligations of the Company, enforceable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Securities of a series offered in a Periodic Offering, the Trustee may rely, as to the authorization by the Company of any of such Securities, the form and terms thereof and the legality, validity, binding effect and enforceability thereof, upon the Opinion of Counsel and other documents delivered pursuant to this Section in connection with the first authentication of Securities of such series unless and until such Opinion of Counsel or other documents have been superseded or revoked. In connection with the authentication and delivery of Securities of a series subject to a Periodic Offering, the Trustee shall be entitled to assume that the Company’s instructions to authenticate and deliver such Securities do not violate any rules, regulations or orders of any governmental agency or commission having jurisdiction over the Company. </w:t>
      </w:r>
    </w:p>
    <w:p>
      <w:pPr>
        <w:pStyle w:val="TextBody"/>
        <w:bidi w:val="0"/>
        <w:spacing w:before="240" w:after="0"/>
        <w:jc w:val="left"/>
        <w:rPr>
          <w:rFonts w:ascii="Times New Roman" w:hAnsi="Times New Roman"/>
          <w:sz w:val="20"/>
        </w:rPr>
      </w:pPr>
      <w:r>
        <w:rPr>
          <w:rFonts w:ascii="Times New Roman" w:hAnsi="Times New Roman"/>
          <w:sz w:val="20"/>
        </w:rPr>
        <w:t xml:space="preserve">Each Registered Security shall be dated the date of its authentication except as otherwise provided by Board Resolution or Officer’s Certificate or indenture supplemental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aggregate principal amount of Securities of any series outstanding at any time may not exceed any limit upon the maximum principal amount for such series set forth in or pursuant to the Board Resolution or Officer’s Certificate or indenture supplemental hereto delivered pursuant to Section 2.03, except as provided in Section 2.08. </w:t>
      </w:r>
    </w:p>
    <w:p>
      <w:pPr>
        <w:pStyle w:val="TextBody"/>
        <w:bidi w:val="0"/>
        <w:spacing w:before="240" w:after="0"/>
        <w:jc w:val="left"/>
        <w:rPr>
          <w:rFonts w:ascii="Times New Roman" w:hAnsi="Times New Roman"/>
          <w:sz w:val="20"/>
        </w:rPr>
      </w:pPr>
      <w:r>
        <w:rPr>
          <w:rFonts w:ascii="Times New Roman" w:hAnsi="Times New Roman"/>
          <w:sz w:val="20"/>
        </w:rPr>
        <w:t xml:space="preserve">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2.10 together with a written statement stating that such Security has never been issued and sold by the Company, for all purposes of this Indenture such Security shall be deemed never to have been authenticated and delivered hereunder and shall never be entitled to the benefits of this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2.07. Exchange and Registration of Transfer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keep at an office or agency to be designated and maintained by the Company in accordance with Section 4.02 (as such, a “Security Registrar”), registry books (the “Security Register”) in which, subject to such reasonable regulations as it may prescribe, the Company shall register Registered Securities and shall register the transfer of Registered Securities of each such series as provided in this Article 2. Such Security Register shall be in written form or in any other form capable of being converted into written form within a reasonable time. At all reasonable times such Security Register shall be open for inspection by the Trustee. Upon due presentment for registration of transfer of any Registered Security of a particular series at such office or agency maintained pursuant to Section 4.02 for such purpose in a Place of Payment, the Company shall execute and register and the Trustee, upon Company Order, shall authenticate and make available for delivery in the name of the transferee or transferees a new Registered Security or Registered Securities of such series of any authorized denominations and for an equal aggregate principal amount and tenor. </w:t>
      </w:r>
    </w:p>
    <w:p>
      <w:pPr>
        <w:pStyle w:val="TextBody"/>
        <w:bidi w:val="0"/>
        <w:spacing w:before="240" w:after="0"/>
        <w:jc w:val="left"/>
        <w:rPr>
          <w:rFonts w:ascii="Times New Roman" w:hAnsi="Times New Roman"/>
          <w:sz w:val="20"/>
        </w:rPr>
      </w:pPr>
      <w:r>
        <w:rPr>
          <w:rFonts w:ascii="Times New Roman" w:hAnsi="Times New Roman"/>
          <w:sz w:val="20"/>
        </w:rPr>
        <w:t xml:space="preserve">(b) At the option of the holder, Registered Securities of any series may be exchanged for other Registered Securities of the same series of any authorized denominations and of an equal aggregate principal amount and tenor. Registered Securities to be exchanged shall be surrendered at any such office or agency maintained pursuant to Section 4.02 for such purpose in a Place of Payment, and the Company shall execute and register and the Trustee, upon Company Order, shall authenticate and make available for delivery in exchange therefor the Security or Securities that the securityholder making the exchange shall be entitled to receive. </w:t>
      </w:r>
    </w:p>
    <w:p>
      <w:pPr>
        <w:pStyle w:val="TextBody"/>
        <w:bidi w:val="0"/>
        <w:spacing w:before="240" w:after="0"/>
        <w:jc w:val="left"/>
        <w:rPr>
          <w:rFonts w:ascii="Times New Roman" w:hAnsi="Times New Roman"/>
          <w:sz w:val="20"/>
        </w:rPr>
      </w:pPr>
      <w:r>
        <w:rPr>
          <w:rFonts w:ascii="Times New Roman" w:hAnsi="Times New Roman"/>
          <w:sz w:val="20"/>
        </w:rPr>
        <w:t xml:space="preserve">(c) 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All Registered Securities presented for registration of transfer or for exchange, redemption or payment, as the case may be, shall (if so required by the Company or the Trustee) be duly endorsed by, or be accompanied by a written instrument or instruments of transfer in form satisfactory to the Company and the Trustee or the Security Registrar duly executed by, the holder thereof or his or her attorney duly authorized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service charge shall be made for any exchange or registration of transfer of Securities, but the Company may require payment of a sum sufficient to cover any tax or other governmental charge that may be imposed in connection therewith, other than exchanges pursuant to the terms of this Indenture not involving any transfer.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be required (1) to exchange or register the transfer of Securities of any series to be redeemed for a period of 15 days next preceding any selection of such Securities to be redeemed, or (2) to exchange or register the transfer of any Registered Security so selected, called or being called for redemption, except in the case of any such series to be redeemed in part the portion thereof not to be so redeemed.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the foregoing, except as otherwise specified as contemplated by Section 2.03, any permanent global Security shall be exchangeable pursuant to this Section only as provided in this paragraph. Except as otherwise specified as contemplated by Section 2.03, if the Securities of a series are represented by a Global Security and (i) the Depositary for such Global Security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or (ii) the Company elects to discontinue the use of the system of book-entry transfers through the Depositary, the Company will issue Securities of that series in definitive form in exchange for the Global Security. If the beneficial owners of interests in a permanent global Security are entitled to exchange such interests for Securities of such series and of like tenor and principal amount of another authorized form and denomination, as specified as contemplated by Section 2.03, then without unnecessary delay but in any event not later than the earliest date on which such interests may be so exchanged, the Company shall deliver to the Trustee or the Security Registrar definitive Securities of that series in aggregate principal amount equal to the principal amount of such permanent global Security executed by the Company. On or after the earliest date on which such interests may be so exchanged, in accordance with instructions given by the Company to the Trustee or the Security Registrar and the Depositary (which instructions shall be in writing), such permanent global Security shall be surrendered from time to time by the Depositary or such other depositary as shall be specified in the Company Order with respect thereto to the Trustee, as the Company’s agent for such purpose, or to the Security Registrar, to be exchanged, in whole or in part, for definitive Securities of the same series without charge and the Trustee shall authenticate and make available for delivery in accordance with such instructions, in exchange for each portion of such permanent global Security, a like aggregate principal amount of definitive Securities of the same series of authorized denominations and of like tenor as the portion of such permanent global Security to be exchanged which shall be in the form of Registered Securities; provided, that no such exchanges may occur for a period of 15 days next preceding any selection of Securities of that series and of like tenor for redemption. Promptly following any such exchange in part, such permanent global Security should be returned by the Trustee or the Security Registrar to the Depositary or such other depositary referred to above in accordance with the instructions of the Company referred to above. If a Registered Security is issued in exchange for any portion of a permanent global Security after the close of business at the office or agency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 such exchange occurs on (i) any record date and before the opening of business at such office or agency on the relevant interest payment date, or (ii) any special record date and before the opening of business at such office or agency on the related proposed date for payment of defaulted interest as provided in Section 2.05,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contained herein to the contrary, neither the Trustee nor the Security Registrar shall be responsible for ascertaining whether any transfer complies with the restrictions set forth in this Indenture, the registration provisions of or exemptions from the Securities Act or applicable state securities laws.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2.08. Temporary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Pending the preparation of definitive Securities of any series, the Company may execute and the Trustee shall, upon Company Order, authenticate and make available for delivery, temporary Securities of such series (typewritten, printed, lithographed or otherwise produced). Such temporary Securities, in any authorized denominations, shall be substantially in the form of the definitive Securities in lieu of which they are issued, in registered form, in the form approved from time to time by or pursuant to a Board Resolution, or Officer’s Certificate or indenture supplemental hereto but with such omissions, insertions, substitutions and other variations as may be appropriate for temporary Securities, all as may be determined by the Company, but not inconsistent with the terms of this Indenture or any provision of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Except in the case of temporary Securities in global form (which shall be exchanged as hereinafter provided),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maintained pursuant to Section 4.02 in a Place of Payment for such series for the purpose of exchanges of Securities of such series, without charge to the holder. Upon surrender for cancellation of any one or more temporary Securities of any series, the Company shall execute and the Trustee shall authenticate and make available for delivery in exchange therefor a like aggregate principal amount of definitive Securities of the same series and of like tenor of authorized denominations. </w:t>
      </w:r>
    </w:p>
    <w:p>
      <w:pPr>
        <w:pStyle w:val="TextBody"/>
        <w:bidi w:val="0"/>
        <w:spacing w:before="240" w:after="0"/>
        <w:jc w:val="left"/>
        <w:rPr>
          <w:rFonts w:ascii="Times New Roman" w:hAnsi="Times New Roman"/>
          <w:sz w:val="20"/>
        </w:rPr>
      </w:pPr>
      <w:r>
        <w:rPr>
          <w:rFonts w:ascii="Times New Roman" w:hAnsi="Times New Roman"/>
          <w:sz w:val="20"/>
        </w:rPr>
        <w:t xml:space="preserve">Without unnecessary delay but in any event not later than the date specified in, or determined pursuant to the terms of, any such temporary global Security of a series (the “Exchange Date”), the Company shall deliver to the Trustee definitive Securities of that series, in aggregate principal amount equal to the principal amount of such temporary global Security, executed by the Company. On or after the Exchange Date such temporary global Security shall be presented and surrendered by the Depositary to the Trustee, as the Company’s agent for such purpose, or to the Security Registrar, to be exchanged, in whole or from time to time in part, for definitive Securities of such series without charge, and the Trustee shall authenticate and make available for delivery, in exchange for each portion of such temporary global Security, a like aggregate principal amount of definitive Securities of the same series of authorized denominations and of like tenor as the portion of such temporary global Security to be exchanged.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Every temporary Security shall be executed by the Company and shall be authenticated by the Trustee upon the same conditions and in substantially the same manner, and with like effect, as the definitive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2.09. Mutilated, Destroyed, Lost or Stolen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mutilated Security is surrendered to the Trustee, the Company shall execute and the Trustee shall, upon Company Order, authenticate and make available for delivery in exchange therefor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there shall be delivered to the Company and the Trustee (a) evidence to their satisfaction of the destruction, loss or theft of any Security and (b) such security or indemnity as may be required by them to save each of them and any agent of either of them harmless, then, in the absence of notice to the Company or the Trustee that such Security has been acquired by a bona fide purchaser, the Company shall, subject to the following paragraph, execute and the Trustee shall authenticate and make available for delivery, in lieu of any such destroyed, lost or stolen Security,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In case any such mutilated, destroyed, lost or stolen Security has become or is about to become due and payable, the Company in its discretion may, instead of issuing a new Security, pay such Security.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any such new Security, if any, shall be entitled to all the benefits of this Indenture equally and proportionately with any and all other Securities of that series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are exclusive and shall preclude (to the extent lawful) all other rights and remedies with respect to the replacement or payment of mutilated, destroyed, lost or stolen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2.10. 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surrendered for payment, redemption, exchange or registration of transfer or for credit against any sinking fund payment, as the case may be, shall, if surrendered to the Company or any agent of the Company or of the Trustee, be delivered to the Trustee. All Registered Securities so delivered shall be promptly cancelled by the Trustee, upon written request of the Company. The Company may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provided by this Indenture. Any cancelled Securities held by the Trustee shall be disposed in accordance with its then customary procedures and, upon written request of the Company, the Trustee shall deliver to the Company a certificate of such disposal.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2.11. Book-Entry Only System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specified by the Company pursuant to Section 2.03 with respect to Securities represented by a Security in global form, a series of Securities may be issued initially in book-entry only form and, if issued in such form, shall be represented by one or more Securities in global form registered in the name of the Depositary or other depositary designated with respect thereto (or its nominee). So long as such system of registration is in effect, (a) Securities of such series so issued in book-entry only form will not be issuable in the form of or exchangeable for Securities in certificated or definitive registered form, (b) the records of the Depositary or such other depositary will be determinative for all purposes and (c) neither the Company, the Trustee nor any paying agent, Security Registrar or transfer agent for such Securities will have any responsibility or liability for (i) any aspect of the records relating to or payments made on account of owners of beneficial interests in the Securities of such series, (ii) maintaining, supervising or reviewing any records relating to such beneficial interests, (iii) receipt of notices, voting and requesting or directing the Trustee to take, or not to take, or consenting to, certain actions hereunder, or (iv) the records and procedures of the Depositary, or such other depositary, as the case may be.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3.01. Redemption of Securities, Applicability of Section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series of Securities or as set forth in the related Board Resolution, indenture supplemental hereto or Officer’s Certificate pursuant to which such Securities were established. Notwithstanding anything in this Indenture the contrary, if any provision with respect to the redemption of a series of Securities as provided for in such series of Securities or as set forth in the related Board Resolution, indenture supplemental hereto or Officer’s Certificate pursuant to which such Securities were established shall conflict with any provision of this Article 3, such Securities, Board Resolution, indenture supplemental hereto and/or Officer’s Certificate shall govern.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3.02. Notice of Redemption, Selection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for a particular series of Securities by Board Resolution, an indenture supplemental hereto or an Officer’s Certificate, at least 10 calendar days but not more than 60 calendar days before a redemption date, the Company will send in accordance with the applicable procedures of the Depositary (with a copy to the Trustee), or, if the Notes are not then global Securities, the Company will mail, or cause to be mailed a notice of redemption by first-class mail to each holder of Securities to be redeemed at such holder’s registered address appearing on the Security Register (with a copy to the Trustee). Notice given in such manner shall be conclusively presumed to have been duly given, whether or not the holder receives such notice. In any case, failure to give such notice or any defect in the notice to the holder of any such Security designated for redemption as a whole or in part shall not affect the validity of the proceedings for the redemption of any other such Security. If the Company requests the Trustee to give any notice of redemption, it shall make such request in writing in an Officer’s Certificate delivered to the Trustee at least three Business Days prior to the designated date for delivering such notice, unless a shorter period is satisfactory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Each such notice of redemption shall specify the date fixed for redemption, the redemption price at which such Securities are to be redeemed, the CUSIP numbers of such Securities, the Place of Payment where such Securities maturing after the date of redemption, are to be surrendered for payment of the redemption prices, that payment will be made upon presentation and surrender of such Securities, that interest accrued to the date fixed for redemption will be paid as specified in the notice, and that on and after the date interest thereon or on the portions thereof to be redeemed will cease to accrue unless the Company defaults in the payment of the redemption price. If less than all of a series is to be redeemed, the notice of redemption shall specify the identity of the particular Securities to be redeemed and the portion of the principal amount of any Security to be redeemed. In case any Security is to be redeemed in part only, the notice of redemption shall state that, upon surrender of such Security, a new Security or Securities of the same series in principal amount equal to the unredeemed portion thereof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On or before the redemption date specified in the notice of redemption given as provided in this Section, the Company will deposit in trust with the Trustee or with one or more paying agents an amount of money sufficient to redeem on the redemption date all the Securities or portions of Securities so called for redemption at the redemption price, together with accrued interest, if any, to the date fixed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the certificated Securities of a series are to be redeemed, the Trustee shall select, by lot or in such other manner is it shall deem appropriate and fair, not more than 60 days prior to the date of redemption, the numbers of such Securities Outstanding not previously called for redemption, to be redeemed in whole or in part. The portion of principal of Securities so selected for partial redemption shall be equal to the minimum authorized denomination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of that series or any integral multiple thereof. The Trustee shall promptly notify the Company of the Securities to be redeemed. If, however, less than all the Securities of a series having differing issue dates, interest rates and stated maturities are to be redeemed, the Company in its sole discretion shall select the particular Securities of such series to be redeemed and shall notify the Trustee in writing at least 45 days prior to the relevant redemption date, unless a shorter period is satisfactory to the Trustee. Global Securities to be partially redeemed shall be selected in accordance with the applicable procedures of the relevant Depositary.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3.03. Payment of Securities Called for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notice of redemption has been given as above provided, subject to any applicable conditions, the Securities or portions of Securities with respect to which such notice has been given shall become due and payable on the date and at the place stated in such notice at the applicable redemption price, together with any interest accrued to, but excluding, the date fixed for redemption, and on and after that date (unless the Company shall default in the payment of such Securities at the redemption price, together with interest accrued to that date) interest on such Securities or portions of Securities so called for redemption shall cease to accrue. On presentation and surrender of such Securities subject to redemption at the Place of Payment and in the manner specified in such notice, such Securities or the specified portions thereof shall be paid and redeemed by the Company at the applicable redemption price, together with interest accrued thereon to, but excluding, the date fixed for redemption; provided, that unless otherwise specified as contemplated by Section 2.03, installments of interest on Registered Securities whose stated maturity date is on or prior to the date of redemption shall be payable to the holders of such Registered Securities, or one or more predecessor Securities, registered as such at the close of business on the relevant record dates according to their terms and the provisions of Section 2.05.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Company, payment with respect to Registered Securities may be made by check to the holders of such Securities or other persons entitled thereto against presentation and surrender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Security that is to be redeemed only in part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and upon such presentation, the Company shall execute and the Trustee shall authenticate and make available for delivery to the holder thereof, at the expense of the Company, a new Security or Securities of the same series, of authorized denominations, in aggregate principal amount equal to the unredeemed portion of the principal of the Security so presented. If a temporary global Security or permanent global Security is so surrendered, such new Security so issued shall be a new temporary global Security or permanent global Security,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3.04. Redemption Suspended During Event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pay any redemption price for the redemption of any Securities (unless all Securities then outstanding are to be redeemed) or commence the giving of any notice of redemption of Securities during the continuance of any Event of Default of which a Responsible Officer of the Trustee has actual knowledge or has received written notice thereof, except that where the giving of notice of redemption of any Securities shall theretofore have been made, the Trustee shall pay the redemption price for the redemption of such Securities, provided funds are deposited with it for such purpose. Except as aforesaid, any moneys theretofore or thereafter received by the Trustee shall, during the continuance of such Event of Default, be held in trust for the benefit of the securityholders and applied in the manner set forth in Section 6.06; provided, that in case such Event of Default shall have been waived as provided herein or otherwise cured, such moneys shall thereafter be held and applied in accordance with the provisions of this Article.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PARTICULAR COVENANTS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4.01. Payment of Principal, Premium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duly and punctually pay or cause to be paid the principal of (and premium, if any, on) and any interest on each of the Securities of a series at the place, at the respective times and in the manner provided in the terms of the Securities and this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4.02. Offices for Notices and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Securities of a series are issuable only as Registered Securities, the Company will maintain in each Place of Payment for such series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give to the Trustee notice of the location of each such office or agency and of any change in the location thereof. In case the Company shall fail to maintain any such office or agency as required, or shall fail to give such notice of the location or of any change in the location thereof, presentations and surrenders of Securities of that series may be made and notices and demands may be served at the Corporate Trust Office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one or more other offices or agencies where the Securities of one or more series may be presented or surrendered for any or all such purposes and may from time to time rescind such designations; provided,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and the holders of any such designation or rescission and of any change in the location of any such other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initially designates the principal Corporate Trust Office of the Trustee as the office of the Company where Registered Securities may be presented for payment, for registration of transfer and for exchange as in this Indenture provided and where notices and demands to or upon the Company in respect of the Securities or of this Indenture may be served; provided, however, that the Trustee shall not be deemed an agent of the Company for service of legal process against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4.03. Provisions as to Paying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Whenever the Company shall appoint a paying agent other than the Trustee with respect to the Securities of any series, it will cause such paying agent to execute and deliver to the Trustee an instrument in which such agent shall agree with the Trustee, subject to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(1) that it will hold sums held by it as such agent for the payment of the principal of (and premium, if any, on) or any interest on the Securities of such series (whether such sums have been paid to it by the Company or by any other obligor on the Securities of such series) in trust for the benefit of the persons entitled thereto until such sums shall be paid to such persons or otherwise disposed of as herein provided and will notify the Trustee of the receipt of sums to be so held; </w:t>
      </w:r>
    </w:p>
    <w:p>
      <w:pPr>
        <w:pStyle w:val="TextBody"/>
        <w:bidi w:val="0"/>
        <w:spacing w:before="240" w:after="0"/>
        <w:jc w:val="left"/>
        <w:rPr>
          <w:rFonts w:ascii="Times New Roman" w:hAnsi="Times New Roman"/>
          <w:sz w:val="20"/>
        </w:rPr>
      </w:pPr>
      <w:r>
        <w:rPr>
          <w:rFonts w:ascii="Times New Roman" w:hAnsi="Times New Roman"/>
          <w:sz w:val="20"/>
        </w:rPr>
        <w:t xml:space="preserve">(2) that it will give the Trustee notice of any failure by the Company (or by any other obligor on the Securities of such series) to make any payment of the principal of (or premium, if any, on) or any interest on the Securities of such series when the same shall be due and payable; and </w:t>
      </w:r>
    </w:p>
    <w:p>
      <w:pPr>
        <w:pStyle w:val="TextBody"/>
        <w:bidi w:val="0"/>
        <w:spacing w:before="240" w:after="0"/>
        <w:jc w:val="left"/>
        <w:rPr>
          <w:rFonts w:ascii="Times New Roman" w:hAnsi="Times New Roman"/>
          <w:sz w:val="20"/>
        </w:rPr>
      </w:pPr>
      <w:r>
        <w:rPr>
          <w:rFonts w:ascii="Times New Roman" w:hAnsi="Times New Roman"/>
          <w:sz w:val="20"/>
        </w:rPr>
        <w:t xml:space="preserve">(3) that at any time when any such failure has occurred and is continuing, it will, upon the written request of the Trustee, forthwith pay to the Trustee all sums so held in trust by such paying agent.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shall act as its own paying agent, it will, on or before each due date of the principal of (and premium, if any) or any interest on the Securities of any series, set aside, segregate and hold in trust for the benefit of the persons entitled thereto a sum sufficient to pay such principal (and premium, if any) or any interest so becoming due until such sums shall be paid to such persons or otherwise disposed of as herein provided. The Company will promptly notify the Trustee of any failure to take such action. </w:t>
      </w:r>
    </w:p>
    <w:p>
      <w:pPr>
        <w:pStyle w:val="TextBody"/>
        <w:bidi w:val="0"/>
        <w:spacing w:before="240" w:after="0"/>
        <w:jc w:val="left"/>
        <w:rPr>
          <w:rFonts w:ascii="Times New Roman" w:hAnsi="Times New Roman"/>
          <w:sz w:val="20"/>
        </w:rPr>
      </w:pPr>
      <w:r>
        <w:rPr>
          <w:rFonts w:ascii="Times New Roman" w:hAnsi="Times New Roman"/>
          <w:sz w:val="20"/>
        </w:rPr>
        <w:t xml:space="preserve">(c) Whenever the Company shall have one or more paying agents with respect to a series of Securities, it will, on or prior to each due date of the principal of (and premium, if any, on) or any interest on, any Securities, deposit with a paying agent a sum sufficient to pay the principal (and premium, if any) or any interest, so becoming due, such sum to be held in trust for the benefit of the Persons entitled to such principal, premium or interest, and (unless such paying agent is the Trustee) the Company will promptly notify the Trustee of its action or failure so to act. </w:t>
      </w:r>
    </w:p>
    <w:p>
      <w:pPr>
        <w:pStyle w:val="TextBody"/>
        <w:bidi w:val="0"/>
        <w:spacing w:before="240" w:after="0"/>
        <w:jc w:val="left"/>
        <w:rPr>
          <w:rFonts w:ascii="Times New Roman" w:hAnsi="Times New Roman"/>
          <w:sz w:val="20"/>
        </w:rPr>
      </w:pPr>
      <w:r>
        <w:rPr>
          <w:rFonts w:ascii="Times New Roman" w:hAnsi="Times New Roman"/>
          <w:sz w:val="20"/>
        </w:rPr>
        <w:t xml:space="preserve">(d) Anything in this Section to the contrary notwithstanding, the Company may, at any time, for the purpose of obtaining the satisfaction and discharge of this Indenture with respect to one or more or all series of Securities hereunder, or for any other reason, pay or cause to be paid to the Trustee all sums held in trust for such series by it or any paying agent hereunder as required by this Section, such sums to be held by the Trustee upon the trusts herein contained, and upon such payment by any paying agent to the Trustee, such paying agent shall be released from all further liability with respect to such money.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Anything in this Section to the contrary notwithstanding, the agreement to hold sums in trust as provided in this Section is subject to the provisions of Section 12.03 and Section 12.04.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4.04. Statement as to Compliance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deliver to the Trustee, within 120 days after the end of each fiscal year of the Company, commencing with the fiscal year ending in the year during which the first series of Securities is issued hereunder (but in no event more than one year from the issuance of the first series hereunder), an Officer’s Certificate signed by the Chief Executive Officer, President or other principal executive officer or by the Chief Financial Officer or other principal financial officer or principal accounting officer, Assistant Secretary, Treasurer or Controller of the Company, stating, as to each signer thereof, that: </w:t>
      </w:r>
    </w:p>
    <w:p>
      <w:pPr>
        <w:pStyle w:val="TextBody"/>
        <w:bidi w:val="0"/>
        <w:spacing w:before="240" w:after="0"/>
        <w:jc w:val="left"/>
        <w:rPr>
          <w:rFonts w:ascii="Times New Roman" w:hAnsi="Times New Roman"/>
          <w:sz w:val="20"/>
        </w:rPr>
      </w:pPr>
      <w:r>
        <w:rPr>
          <w:rFonts w:ascii="Times New Roman" w:hAnsi="Times New Roman"/>
          <w:sz w:val="20"/>
        </w:rPr>
        <w:t xml:space="preserve">(a) a review of the activities of the Company during such year and of performance under this Indenture has been made under his or her supervision; and </w:t>
      </w:r>
    </w:p>
    <w:p>
      <w:pPr>
        <w:pStyle w:val="TextBody"/>
        <w:bidi w:val="0"/>
        <w:spacing w:before="240" w:after="0"/>
        <w:jc w:val="left"/>
        <w:rPr>
          <w:rFonts w:ascii="Times New Roman" w:hAnsi="Times New Roman"/>
          <w:sz w:val="20"/>
        </w:rPr>
      </w:pPr>
      <w:r>
        <w:rPr>
          <w:rFonts w:ascii="Times New Roman" w:hAnsi="Times New Roman"/>
          <w:sz w:val="20"/>
        </w:rPr>
        <w:t xml:space="preserve">(b) to the best of his or her knowledge, based on such review, the Company has fulfilled all its obligations under this Indenture throughout such year, or, if there has been a default in the fulfillment of any such obligation, specifying each such default known to him and the nature and status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4.05. Corporate Existence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Article 11, the Company will do or cause to be done all things necessary to preserve and keep in full force and effect its corporate existence, rights (charter and statutory) and franchises and the corporate existence and rights (charter and statutory) and franchises of its Subsidiaries; provided, that the Company shall not be required to, or to cause any Subsidiary to, preserve any right or franchise or to keep in full force and effect the corporate existence of any Subsidiary if the Company shall determine that the keeping in existence or preservation thereof is no longer desirable in or consistent with the conduct of the business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4.06. Waiver of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omit in any particular instance to comply with any covenant or condition set forth herein if before or after the time for such compliance the holders of a majority in principal amount of the Securities of all series affected thereby then Outstanding shall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SECURITYHOLDER LISTS AND REPORTS BY THE COMPANY AND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5.01. Securityholder Lists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and agrees that it will furnish or cause to be furnished to the Trustee (1) semiannually, within 15 days before each record date when any Securities of a series are Outstanding, a list, in such form as the Trustee may reasonably require, of all information in the possession or control of the Company as to the names and addresses of the holders of such Registered Securities as of such date, and (2) at such other times as the Trustee may request in writing, within 10 days after receipt by the Company of any such request, a list, in such form as the Trustee may reasonably require, of all information in the possession or control of the Company as to the names and addresses of the holders of Registered Securities of a particular series specified by the Trustee as of a date not more than 15 days prior to the time such information is furnished; provided, that if and so long as the Trustee shall be the Security Registrar with respect to such series, such list shall not be required to be furnished.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5.02. Preservation and Disclosure of Lists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shall preserve, in as current a form as is reasonably practicable, all information as to the names and addresses of the holders of each series of Securities contained in the most recent list furnished to it as provided in Section 5.01 or received by the Trustee in its capacity as Security Registrar. The Trustee may destroy any list furnished to it as provided in Section 5.01 upon receipt of a new list so furnished. </w:t>
      </w:r>
    </w:p>
    <w:p>
      <w:pPr>
        <w:pStyle w:val="TextBody"/>
        <w:bidi w:val="0"/>
        <w:spacing w:before="240" w:after="0"/>
        <w:jc w:val="left"/>
        <w:rPr>
          <w:rFonts w:ascii="Times New Roman" w:hAnsi="Times New Roman"/>
          <w:sz w:val="20"/>
        </w:rPr>
      </w:pPr>
      <w:r>
        <w:rPr>
          <w:rFonts w:ascii="Times New Roman" w:hAnsi="Times New Roman"/>
          <w:sz w:val="20"/>
        </w:rPr>
        <w:t xml:space="preserve">(b) Securityholders may communicate as provided in Section 312(b) of the Trust Indenture Act with other securityholders with respect to their rights under this Indenture or under the Securities. The Company, the Trustee, the Security Registrar and anyone else shall have the protection of Section 312(c) of the Trust Indenture Act with respect to the sending of any material pursuant to a request made pursuant to Section 312(b) of the Trust Indenture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5.03. Reports by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furnish to the Trustee within 15 days after the filing by the Company with the Commission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The Company will be deemed to have furnished such reports referred to in this Section to the Trustee if the Company has filed such reports with the SEC via the EDGAR filing system (or any successor thereto) and such reports are publicly available.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5.04. Reports by the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promptly as practicable after each May 15 beginning with May 15, 20[__] and in any event prior to July 15 in each year, the Trustee shall transmit by mail or by electronic transmission to all securityholders, as their names and addresses appear on the register kept by the Registrar, a brief report dated as of May 15, each year if and to the extent required by TIA § 313(a). The Trustee shall also comply with TIA § 313(b) and TIA § 313(c).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copy of each report at the time of its sending to securityholders of any series shall be filed with the Commission and each stock exchange (if any) on which the Securities of that series are listed. The Company shall promptly notify the Trustee when Securities of any series are listed on any stock exchange and of any delisting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REMEDIES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6.01. Events of Default; Acceleration of Maturity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one or more of the following events (each an “Event of Default”) with respect to a particular series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(a) default in (i) the payment of the principal of (or premium, if any, on) any of the Securities of such series as and when the same shall become due and payable either at maturity, upon redemption, by declaration or otherwise or (ii) any payment required by any sinking or analogous fund established with respect to that series; </w:t>
      </w:r>
    </w:p>
    <w:p>
      <w:pPr>
        <w:pStyle w:val="TextBody"/>
        <w:bidi w:val="0"/>
        <w:spacing w:before="240" w:after="0"/>
        <w:jc w:val="left"/>
        <w:rPr>
          <w:rFonts w:ascii="Times New Roman" w:hAnsi="Times New Roman"/>
          <w:sz w:val="20"/>
        </w:rPr>
      </w:pPr>
      <w:r>
        <w:rPr>
          <w:rFonts w:ascii="Times New Roman" w:hAnsi="Times New Roman"/>
          <w:sz w:val="20"/>
        </w:rPr>
        <w:t xml:space="preserve">(b) default in the payment of any installment of interest upon any of the Securities of such series as and when the same shall become due and payable, and continuance of such default for a period of 90 days; </w:t>
      </w:r>
    </w:p>
    <w:p>
      <w:pPr>
        <w:pStyle w:val="TextBody"/>
        <w:bidi w:val="0"/>
        <w:spacing w:before="240" w:after="0"/>
        <w:jc w:val="left"/>
        <w:rPr>
          <w:rFonts w:ascii="Times New Roman" w:hAnsi="Times New Roman"/>
          <w:sz w:val="20"/>
        </w:rPr>
      </w:pPr>
      <w:r>
        <w:rPr>
          <w:rFonts w:ascii="Times New Roman" w:hAnsi="Times New Roman"/>
          <w:sz w:val="20"/>
        </w:rPr>
        <w:t xml:space="preserve">(c) failure on the part of the Company duly to observe or perform any other of the covenants or agreements on the part of the Company contained in the Securities or in this Indenture for a period of 90 days after the date on which written notice of such failure, requiring the Company to remedy the same, shall have been given to the Company by the Trustee, or to the Company and the Trustee by the holders of at least 25% in aggregate principal amount of the Securities of that series at the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(d) a court having jurisdiction in the premises shall enter a decree or order for relief in respect of the Company or the Material Subsidiary in an involuntary case or proceeding under any applicable bankruptcy, insolvency or other similar law now or hereafter in effect, or appointing a receiver, liquidator, assignee, custodian, trustee, sequestrator (or similar official) of the Company or any Material Subsidiary or for any substantial part of their respective property, or ordering the winding-up or liquidation of its affairs and such decree or order shall remain unstayed and in effect for a period of 60 consecutive days; </w:t>
      </w:r>
    </w:p>
    <w:p>
      <w:pPr>
        <w:pStyle w:val="TextBody"/>
        <w:bidi w:val="0"/>
        <w:spacing w:before="240" w:after="0"/>
        <w:jc w:val="left"/>
        <w:rPr>
          <w:rFonts w:ascii="Times New Roman" w:hAnsi="Times New Roman"/>
          <w:sz w:val="20"/>
        </w:rPr>
      </w:pPr>
      <w:r>
        <w:rPr>
          <w:rFonts w:ascii="Times New Roman" w:hAnsi="Times New Roman"/>
          <w:sz w:val="20"/>
        </w:rPr>
        <w:t xml:space="preserve">(e) the Company or the Material Subsidiary shall commence a voluntary case or proceeding under any applicable bankruptcy, insolvency or other similar law now or hereafter in effect, or shall consent to the entry of a decree or order for relief in an involuntary case or proceeding under any such law, or shall consent to the appointment of or taking possession by a receiver, liquidator, assignee, trustee, custodian, sequestrator (or similar official) of the Company or the Material Subsidiary or for any substantial part of their respective property, or shall make any general assignment for the benefit of creditors;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any other Event of Default provided with respect to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then, if an Event of Default described in clause (a), (b), (c), or (f) shall have occurred and be continuing, and in each and every such case, unless the principal amount of all the Securities of such series shall have already become due and payable, either the Trustee or the holders of not less than 25% in aggregate principal amount of the Securities of that series then Outstanding hereunder, by notice in writing to the Company (and to the Trustee if given by securityholders) may declare the principal amount of all the Securities (or, with respect to Original Issue Discount Securities, such lesser amount as may be specified in the terms of such Securities) of that series to be due and payable immediately, and upon any such declaration the same shall become and shall be immediately due and payable, anything in this Indenture or in the Securities of such series contained to the contrary notwithstanding; or, if an Event of Default described in clause (d) or (e) shall have occurred and be continuing, the principal amount of all the Securities of that series then Outstanding hereunder, shall be due and payable immediately without declaration or other act on the part of the Trustee or any holder.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6.02. Rescission and Annulment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in Section 6.01 are subject to the condition that if, at any time after the principal of the Securities of any one or more of all series, as the case may be, shall have been so declared due and payable, and before any judgment or decree for the payment of the moneys due shall have been obtained or entered as hereinafter provided, the holders of a majority in aggregate principal amount of the Securities of such series (or of all the Securities, as the case may be) then Outstanding, by written notice to the Company and to the Trustee, may, subject to Section 6.13, waive all defaults with respect to that series or with respect to all Securities, as the case may be in such case, treated as a single class and rescind and annul such declaration and its consequences only if (1) the Company has paid or deposited with the Trustee a sum sufficient to pay (i) all overdue installments of interest upon all the Securities of such series or of all the Securities, as the case may be, and the (ii) principal of (and premium, if any, on) all Securities of such series or of all the Securities, as the case may be (or, with respect to Original Issue Discount Securities, such lesser amount as may be specified in the terms of such Securities), which shall have become due otherwise than by acceleration (with interest upon such principal and premium, if any) and, to the extent permitted by applicable law, interest thereon at the applicable rate of interest borne by such Securities and (iii) to the extent that payment of such interest is permitted by applicable law, interest on overdue installments of interest, if any, which shall have become due otherwise than by acceleration, at the same rate as the rate of interest specified in the Securities of such series or all Securities, as the case may be (or, with respect to Original Issue Discount Securities, at the rate specified in the terms of such Securities for interest on overdue principal thereof upon maturity, redemption or acceleration of such series,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its gross negligence or willful misconduct, and (2) any and all Events of Default with respect to the Securities of such series (or of all the Securities, as the case may be) then Outstanding, other than the non-payment of the principal of, or any premium and interest on the Securities that has become due by acceleration, shall have been waived or remedied as provided in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such waiver or rescission and annulment shall extend to or shall affect any subsequent default or shall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In case the Trustee shall have proceeded to enforce any right under this Indenture and such proceedings shall have been discontinued or abandoned because of such rescission and annulment or for any other reason or shall have been determined adversely to the Trustee, then and in every such case the Company, the Trustee and the securityholders, as the case may be, shall be restored respectively to their former positions and rights hereunder, and all rights, remedies and powers of the Company, the Trustee and the securityholders, as the case may be, shall continue as though no such proceedings had been taken.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6.03. Collection of Indebtedness and Suits for Enforcement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that if </w:t>
      </w:r>
    </w:p>
    <w:p>
      <w:pPr>
        <w:pStyle w:val="TextBody"/>
        <w:bidi w:val="0"/>
        <w:spacing w:before="240" w:after="0"/>
        <w:jc w:val="left"/>
        <w:rPr>
          <w:rFonts w:ascii="Times New Roman" w:hAnsi="Times New Roman"/>
          <w:sz w:val="20"/>
        </w:rPr>
      </w:pPr>
      <w:r>
        <w:rPr>
          <w:rFonts w:ascii="Times New Roman" w:hAnsi="Times New Roman"/>
          <w:sz w:val="20"/>
        </w:rPr>
        <w:t xml:space="preserve">(a) default is made in the payment of any installment of interest on any Security when such interest becomes due and payable and such default continues for a period of 90 days, </w:t>
      </w:r>
    </w:p>
    <w:p>
      <w:pPr>
        <w:pStyle w:val="TextBody"/>
        <w:bidi w:val="0"/>
        <w:spacing w:before="240" w:after="0"/>
        <w:jc w:val="left"/>
        <w:rPr>
          <w:rFonts w:ascii="Times New Roman" w:hAnsi="Times New Roman"/>
          <w:sz w:val="20"/>
        </w:rPr>
      </w:pPr>
      <w:r>
        <w:rPr>
          <w:rFonts w:ascii="Times New Roman" w:hAnsi="Times New Roman"/>
          <w:sz w:val="20"/>
        </w:rPr>
        <w:t xml:space="preserve">(b) default is made in the payment of the principal or premium, if any, of any Security at the maturity thereof, including any maturity occurring by reason of a call for redemption or otherwise, the Company will, upon demand of the Trustee, pay to it, for the benefit of the holders of such Securities, the whole amount that shall have become due and payable on such Securities for principal or premium, if any, and interest, with interest upon the overdue principal and, to the extent that payment of such interest shall be legally enforceable, upon overdue installments of interest, at the rate borne by such Securities; and, in addition thereto, such further amount as shall be sufficient to cover the costs and expenses of collection, including the reasonable compensation, expenses, disbursements and advances of the Trustee, its agents and counsel, or </w:t>
      </w:r>
    </w:p>
    <w:p>
      <w:pPr>
        <w:pStyle w:val="TextBody"/>
        <w:bidi w:val="0"/>
        <w:spacing w:before="240" w:after="0"/>
        <w:jc w:val="left"/>
        <w:rPr>
          <w:rFonts w:ascii="Times New Roman" w:hAnsi="Times New Roman"/>
          <w:sz w:val="20"/>
        </w:rPr>
      </w:pPr>
      <w:r>
        <w:rPr>
          <w:rFonts w:ascii="Times New Roman" w:hAnsi="Times New Roman"/>
          <w:sz w:val="20"/>
        </w:rPr>
        <w:t xml:space="preserve">(c) default is made in the deposit of any sinking fund payment when and as due by the terms of a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fails to pay such amounts forthwith upon such demand, the Trustee, in its own name and as trustee of an express trust, may institute a judicial proceeding for the collection of the sums so due and unpaid, and may prosecute such proceedings to judgment or final decree, and may enforce the same against the Company or any other obligor upon the Securities and collect the moneys adjudged or decreed to be payable in the manner provided by law out of the property of the Company or any other obligor upon the Securities,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the Trustee may in its discretion proceed to protect and enforce its rights and the rights of the securityholders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6.04. Trustee May File Proofs of Claim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the pendency of a receivership, insolvency, liquidation, bankruptcy, reorganization, arrangement, adjustment, composition or other judicial proceeding relative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or any other obligor upon the Securities or the property of the Company or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w:t>
      </w:r>
    </w:p>
    <w:p>
      <w:pPr>
        <w:pStyle w:val="TextBody"/>
        <w:bidi w:val="0"/>
        <w:spacing w:before="240" w:after="0"/>
        <w:jc w:val="left"/>
        <w:rPr>
          <w:rFonts w:ascii="Times New Roman" w:hAnsi="Times New Roman"/>
          <w:sz w:val="20"/>
        </w:rPr>
      </w:pPr>
      <w:r>
        <w:rPr>
          <w:rFonts w:ascii="Times New Roman" w:hAnsi="Times New Roman"/>
          <w:sz w:val="20"/>
        </w:rPr>
        <w:t xml:space="preserve">(a) to file and prove a claim for the whole amount of principal and premium, if any, and any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of Securities allowed in such judicial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(b) to collect and receive any moneys or other property payable or deliverable on any such claims and to distribute the same; and any receiver, assignee, trustee, liquidator or sequestrator (or other similar official) in any such judicial proceeding is hereby authorized by each holder of Securities to make such payments to the Trustee, and in the event that the Trustee shall consent to the making of such payments directly to the holders of Securities, to pay to the Trustee any amount due to it for the reasonable compensation, expenses, disbursements and advances of the Trustee, its agents and counsel, and any other amounts due the Trustee under Section 7.06. To the extent that such payment of reasonable compensation, expenses, disbursements, advances and other amounts out of the estate in any such proceedings shall be denied for any reason, payment of the same shall be secured by a lien on, and shall be paid out of, any and all distributions, dividends, moneys, securities and other property which the holders of the Securities may be entitled to receive in such proceedings, whether in liquidation or under any plan or reorganization or arrangements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contained shall be deemed to authorize the Trustee to authorize or consent to or accept or adopt on behalf of the holder of a Security any plan of reorganization, arrangement, adjustment or composition affecting the Securities or the rights of any holder thereof, or to authorize the Trustee to vote in respect of the claim of any holder of a Security in any such proceeding.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6.05. Trustee May Enforce Claims Without Possession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Securities in respect of which such judgment has been recovered.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6.06. Application of Money Collected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 collected by the Trustee pursuant to this Article shall be applied in the following order, at the date or dates fixed by the Trustee and, in case of the distribution of such money on account of principal or premium, if any, or any interest, upon presentation of the Securities, as the case may be, and the notation thereon of the payment if only partially paid and upon surrender thereof if fully paid: </w:t>
      </w:r>
    </w:p>
    <w:p>
      <w:pPr>
        <w:pStyle w:val="TextBody"/>
        <w:bidi w:val="0"/>
        <w:spacing w:before="240" w:after="0"/>
        <w:jc w:val="left"/>
        <w:rPr>
          <w:rFonts w:ascii="Times New Roman" w:hAnsi="Times New Roman"/>
          <w:sz w:val="20"/>
        </w:rPr>
      </w:pPr>
      <w:r>
        <w:rPr>
          <w:rFonts w:ascii="Times New Roman" w:hAnsi="Times New Roman"/>
          <w:sz w:val="20"/>
        </w:rPr>
        <w:t xml:space="preserve">FIRST: To the payment of all amounts due the Trustee under Section 7.06 or 14.05;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all senior Indebtedness of the Company if and to the extent required by Article 16; </w:t>
      </w:r>
    </w:p>
    <w:p>
      <w:pPr>
        <w:pStyle w:val="TextBody"/>
        <w:bidi w:val="0"/>
        <w:spacing w:before="240" w:after="0"/>
        <w:jc w:val="left"/>
        <w:rPr>
          <w:rFonts w:ascii="Times New Roman" w:hAnsi="Times New Roman"/>
          <w:sz w:val="20"/>
        </w:rPr>
      </w:pPr>
      <w:r>
        <w:rPr>
          <w:rFonts w:ascii="Times New Roman" w:hAnsi="Times New Roman"/>
          <w:sz w:val="20"/>
        </w:rPr>
        <w:t xml:space="preserve">THIRD: To the payment of the amounts then due and unpaid upon the Securities for principal of and premium, if any, and any interest on the Securities, in respect of which or for the benefit of which such money has been collected, ratably, without preference or priority of any kind, according to the amounts due and payable on such Securities, for principal and any interest,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FOURTH: To the Company or its successors or assigns, or to whomsoever may be lawfully entitled to receive the same.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6.07. 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Security of any series shall have any right to institute any proceeding, judicial or otherwise, with respect to this Indenture, or for the appointment of a receiver or trustee, or for any other remedy hereunder, unless: </w:t>
      </w:r>
    </w:p>
    <w:p>
      <w:pPr>
        <w:pStyle w:val="TextBody"/>
        <w:bidi w:val="0"/>
        <w:spacing w:before="240" w:after="0"/>
        <w:jc w:val="left"/>
        <w:rPr>
          <w:rFonts w:ascii="Times New Roman" w:hAnsi="Times New Roman"/>
          <w:sz w:val="20"/>
        </w:rPr>
      </w:pPr>
      <w:r>
        <w:rPr>
          <w:rFonts w:ascii="Times New Roman" w:hAnsi="Times New Roman"/>
          <w:sz w:val="20"/>
        </w:rPr>
        <w:t xml:space="preserve">(1) such holder has previously given written notice to the Trustee of a continuing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(2) the holders of not less than 25% in principal amount of the Outstanding Securities of that series shall have made written request to the Trustee to institute proceedings in respect of such Event of Default in its own name as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(3) such holder or holders have offered to the Trustee indemnity against the costs, expenses and liabilities to be incurred in compliance with such request; </w:t>
      </w:r>
    </w:p>
    <w:p>
      <w:pPr>
        <w:pStyle w:val="TextBody"/>
        <w:bidi w:val="0"/>
        <w:spacing w:before="240" w:after="0"/>
        <w:jc w:val="left"/>
        <w:rPr>
          <w:rFonts w:ascii="Times New Roman" w:hAnsi="Times New Roman"/>
          <w:sz w:val="20"/>
        </w:rPr>
      </w:pPr>
      <w:r>
        <w:rPr>
          <w:rFonts w:ascii="Times New Roman" w:hAnsi="Times New Roman"/>
          <w:sz w:val="20"/>
        </w:rPr>
        <w:t xml:space="preserve">(4) the Trustee for 60 days after its receipt of such notice, request and offer of indemnity has failed to institute any such proceedings; and </w:t>
      </w:r>
    </w:p>
    <w:p>
      <w:pPr>
        <w:pStyle w:val="TextBody"/>
        <w:bidi w:val="0"/>
        <w:spacing w:before="240" w:after="0"/>
        <w:jc w:val="left"/>
        <w:rPr>
          <w:rFonts w:ascii="Times New Roman" w:hAnsi="Times New Roman"/>
          <w:sz w:val="20"/>
        </w:rPr>
      </w:pPr>
      <w:r>
        <w:rPr>
          <w:rFonts w:ascii="Times New Roman" w:hAnsi="Times New Roman"/>
          <w:sz w:val="20"/>
        </w:rPr>
        <w:t xml:space="preserve">(5) no direction inconsistent with such written request has been given to the Trustee during such 60-day period by the holders of a majority in aggregate principal amount of the Outstanding Securities; </w:t>
      </w:r>
    </w:p>
    <w:p>
      <w:pPr>
        <w:pStyle w:val="TextBody"/>
        <w:bidi w:val="0"/>
        <w:spacing w:before="240" w:after="0"/>
        <w:jc w:val="left"/>
        <w:rPr>
          <w:rFonts w:ascii="Times New Roman" w:hAnsi="Times New Roman"/>
          <w:sz w:val="20"/>
        </w:rPr>
      </w:pPr>
      <w:r>
        <w:rPr>
          <w:rFonts w:ascii="Times New Roman" w:hAnsi="Times New Roman"/>
          <w:sz w:val="20"/>
        </w:rPr>
        <w:t xml:space="preserve">it being understood and intended that no one or more such holders of Securities shall have any right in any manner whatever by virtue of, or by availing of, any provision of this Indenture to affect, disturb or prejudice the rights of any other of such holders of Securities or to obtain 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seek to obtain priority or preference over any other of such holders or to enforce any right under this Indenture, except in the manner herein provided and for the equal and ratable benefit of all such holders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6.08. Unconditional Right of Securityholders to Receive Principal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this Indenture, the holder of any Security shall have the right, which is absolute and unconditional, to receive payment of the principal of and premium, if any, and (subject to Section 2.05 and Section 3.02) any interest on such Security on the respective stated maturities expressed in such Security (or, in the case of redemption, on the redemption date) and to institute suit for the enforcement of any such payment, and such right shall not be impaired without the consent of such holder.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6.09. Restoration of Rights and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any holder of a Security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shall, subject to any determination in such proceeding, be restored severally and respectively to their former positions hereunder, and thereafter all rights and remedies of the Trustee and the holders shall continue as though no such proceeding has been instituted.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6.10. Rights and Remedies Cumulative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Section 2.09,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6.11. Delay or Omission Not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delay or omission of the Trustee or of any holder of any Security to exercise any right or remedy accruing upon any default shall impair any such right or remedy or constitute a waiver of any such default or any acquiescence therein. Every right and remedy given by this Article or by law to the Trustee or to the holders of Securities may be exercised from time to time, and as often as may be deemed expedient, by the Trustee or by the holders of Securities, as the case may be.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6.12. Control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6.02, the holders of a majority in principal amount of Outstanding Securities of each series shall have the right to direct the time, method and place of conducting any proceeding for any remedy available to the Trustee or exercising any trust or power conferred on the Trustee, provided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such direction shall not be in conflict with any statute, rule of law or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(2) the Trustee may take any other action deemed proper by the Trustee which is not inconsistent with such direction; and </w:t>
      </w:r>
    </w:p>
    <w:p>
      <w:pPr>
        <w:pStyle w:val="TextBody"/>
        <w:bidi w:val="0"/>
        <w:spacing w:before="240" w:after="0"/>
        <w:jc w:val="left"/>
        <w:rPr>
          <w:rFonts w:ascii="Times New Roman" w:hAnsi="Times New Roman"/>
          <w:sz w:val="20"/>
        </w:rPr>
      </w:pPr>
      <w:r>
        <w:rPr>
          <w:rFonts w:ascii="Times New Roman" w:hAnsi="Times New Roman"/>
          <w:sz w:val="20"/>
        </w:rPr>
        <w:t xml:space="preserve">(3) the Trustee need not take any action which it in good faith determines might involve it in personal liability or be unjustly prejudicial to the securityholders not consenting; provided, however, that the Trustee shall not have an affirmative obligation to determine whether such action is unduly prejudicial to the securityholders not consenting. </w:t>
      </w:r>
    </w:p>
    <w:p>
      <w:pPr>
        <w:pStyle w:val="TextBody"/>
        <w:bidi w:val="0"/>
        <w:spacing w:before="240" w:after="0"/>
        <w:jc w:val="left"/>
        <w:rPr>
          <w:rFonts w:ascii="Times New Roman" w:hAnsi="Times New Roman"/>
          <w:sz w:val="20"/>
        </w:rPr>
      </w:pPr>
      <w:r>
        <w:rPr>
          <w:rFonts w:ascii="Times New Roman" w:hAnsi="Times New Roman"/>
          <w:sz w:val="20"/>
        </w:rPr>
        <w:t xml:space="preserve">Upon receipt by the Trustee of any such direction with respect to Securities of a series all or part of which is represented by a temporary global Security or a permanent global Security, the Trustee shall establish a record date for determining holders of Outstanding Securities of such series entitled to join in such direction, which record date shall be at the close of business on the day the Trustee receives such direction. The holders on such record date, or their duly designated proxies, and only such persons, shall be entitled to join in such direction, whether or not such holders remain holders after such record date, provided that, unless such majority in principal amount shall have been obtained prior to the day which is 90 days after such record date, such direction shall automatically and without further action by any holder be cancelled and of no further effect. Nothing in this paragraph shall prevent a holder, or a proxy of a holder, from giving, after expiration of such 90-day period, a new direction identical to a direction which has been cancelled pursuant to the proviso to the preceding sentence, in which event a new record date shall be established pursuant to the provisions of this Section 6.12.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6.13. Waiver of Past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Securities of each series at the time Outstanding may, on behalf of the holders of all the Securities of that series, waive any past default hereunder and its consequences, except a default: </w:t>
      </w:r>
    </w:p>
    <w:p>
      <w:pPr>
        <w:pStyle w:val="TextBody"/>
        <w:bidi w:val="0"/>
        <w:spacing w:before="240" w:after="0"/>
        <w:jc w:val="left"/>
        <w:rPr>
          <w:rFonts w:ascii="Times New Roman" w:hAnsi="Times New Roman"/>
          <w:sz w:val="20"/>
        </w:rPr>
      </w:pPr>
      <w:r>
        <w:rPr>
          <w:rFonts w:ascii="Times New Roman" w:hAnsi="Times New Roman"/>
          <w:sz w:val="20"/>
        </w:rPr>
        <w:t xml:space="preserve">(a) in the payment of the principal of, premium, if any, or any interest on any Security; or </w:t>
      </w:r>
    </w:p>
    <w:p>
      <w:pPr>
        <w:pStyle w:val="TextBody"/>
        <w:bidi w:val="0"/>
        <w:spacing w:before="240" w:after="0"/>
        <w:jc w:val="left"/>
        <w:rPr>
          <w:rFonts w:ascii="Times New Roman" w:hAnsi="Times New Roman"/>
          <w:sz w:val="20"/>
        </w:rPr>
      </w:pPr>
      <w:r>
        <w:rPr>
          <w:rFonts w:ascii="Times New Roman" w:hAnsi="Times New Roman"/>
          <w:sz w:val="20"/>
        </w:rPr>
        <w:t xml:space="preserve">(b) in respect of a covenant or provision hereof that pursuant to Article 10 cannot be modified or amended without the consent of the holder of each Outstanding Security affected. </w:t>
      </w:r>
    </w:p>
    <w:p>
      <w:pPr>
        <w:pStyle w:val="TextBody"/>
        <w:bidi w:val="0"/>
        <w:spacing w:before="240" w:after="0"/>
        <w:jc w:val="left"/>
        <w:rPr>
          <w:rFonts w:ascii="Times New Roman" w:hAnsi="Times New Roman"/>
          <w:sz w:val="20"/>
        </w:rPr>
      </w:pPr>
      <w:r>
        <w:rPr>
          <w:rFonts w:ascii="Times New Roman" w:hAnsi="Times New Roman"/>
          <w:sz w:val="20"/>
        </w:rPr>
        <w:t xml:space="preserve">Upon any such waiver, such default shall cease to exist, and any default or Event of Default arising therefrom shall be deemed to have been cured, for every purpose of this Indenture, but no such waiver shall extend to any subsequent or other default or impair any right consequent thereon.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6.14. Undertaking for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of any Securities for the enforcement of the payment of the principal of, premium, if any, or any interest on any Security on or after the respective stated maturities expressed in such Security (or, in the case of redemption, on or after the redemption date, except, in the case of a partial redemption, with respect to the portion not so redeemed).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6.15. Waiver of Stay or Extension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(to the extent that it may lawfully do so) that it will not at any time insist upon, or plead, or in any manner whatsoever claim or take the benefit or advantage of, any stay or extension laws wherever enacted, now or at any time hereafter in force, which may affect the covenants or the performance of this Indenture; and the Company (to the extent that it may lawfully do so) hereby expressly waives all benefits or advantage of any such law, and covenants that it will not hinder, delay or impede the execution of any power herein granted to the Trustee, but will suffer and permit the execution of every such power as though no such law had been enacted.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CONCERNING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7.01. Duties and Responsibilities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prior to the occurrence of an Event of Default of a particular series and after the curing of all Events of Default of such series which may have occurred, undertakes to perform such duties and only such duties with respect to such series as are specifically set forth in this Indenture, and no implied covenants or obligations shall be read into this Indenture against the Trustee. In the absence of bad faith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In case an Event of Default with respect to a particular series has occurred (which has not been cured), the Trustee shall exercise with respect to such series such of the rights and powers vested in it by this Indenture, and use the same degree of care and skill in their exercise, as a prudent man would exercise or use under the circumstances in the conduct of his own affairs. </w:t>
      </w:r>
    </w:p>
    <w:p>
      <w:pPr>
        <w:pStyle w:val="TextBody"/>
        <w:bidi w:val="0"/>
        <w:spacing w:before="240" w:after="0"/>
        <w:jc w:val="left"/>
        <w:rPr>
          <w:rFonts w:ascii="Times New Roman" w:hAnsi="Times New Roman"/>
          <w:sz w:val="20"/>
        </w:rPr>
      </w:pPr>
      <w:r>
        <w:rPr>
          <w:rFonts w:ascii="Times New Roman" w:hAnsi="Times New Roman"/>
          <w:sz w:val="20"/>
        </w:rPr>
        <w:t xml:space="preserve">(c) No provisions of this Indenture shall be construed to relieve the Trustee from liability for its own negligent action, its own negligent failure to act, or its own willful misconduct, except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prior to the occurrence of an Event of Default with respect to a particular series and after the curing of all Events of Default with respect to such series which may have occurred, (x) the duties and obligations of the Trustee with respect to such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 (y) in the absence of bad faith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on their face to the requirements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(2) the Trustee shall not be liable for any error of judgment made in good faith by a Responsible Officer or Responsible Officers, unless it shall be proved that the Trustee was negligent in ascertaining the pertinent facts; and </w:t>
      </w:r>
    </w:p>
    <w:p>
      <w:pPr>
        <w:pStyle w:val="TextBody"/>
        <w:bidi w:val="0"/>
        <w:spacing w:before="240" w:after="0"/>
        <w:jc w:val="left"/>
        <w:rPr>
          <w:rFonts w:ascii="Times New Roman" w:hAnsi="Times New Roman"/>
          <w:sz w:val="20"/>
        </w:rPr>
      </w:pPr>
      <w:r>
        <w:rPr>
          <w:rFonts w:ascii="Times New Roman" w:hAnsi="Times New Roman"/>
          <w:sz w:val="20"/>
        </w:rPr>
        <w:t xml:space="preserve">(3) the Trustee shall not be liable with respect to any action taken or omitted to be taken by it in good faith in accordance with the direction of the holders of Securities pursuant to Section 6.12 relating to the time, method and place of conducting any proceeding for any remedy available to the Trustee, or exercising any trust or power conferred upon the Trustee,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(d) No provision of this Indenture shall be construed as requiring the Trustee to expend or risk its own funds or otherwise to incur any personal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7.02. Reliance on Documents, Opinions, etc.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7.01: </w:t>
      </w:r>
    </w:p>
    <w:p>
      <w:pPr>
        <w:pStyle w:val="TextBody"/>
        <w:bidi w:val="0"/>
        <w:spacing w:before="240" w:after="0"/>
        <w:jc w:val="left"/>
        <w:rPr>
          <w:rFonts w:ascii="Times New Roman" w:hAnsi="Times New Roman"/>
          <w:sz w:val="20"/>
        </w:rPr>
      </w:pPr>
      <w:r>
        <w:rPr>
          <w:rFonts w:ascii="Times New Roman" w:hAnsi="Times New Roman"/>
          <w:sz w:val="20"/>
        </w:rPr>
        <w:t xml:space="preserve">(a) the Trustee may rely and shall be protected in acting or refraining from acting upon any resolution, certificate, statement, instrument, opinion, report, notice, request, consent, order, judgement, bond, debenture, note, coupon or other paper or document believed by it to be genuine and to have been signed or presented by the proper party or parties not only as the due execution, validity and effectiveness, but also as to the truth and accuracy of any information contained herein. The Trustee need not investigate any fact or matter stated in any such document; </w:t>
      </w:r>
    </w:p>
    <w:p>
      <w:pPr>
        <w:pStyle w:val="TextBody"/>
        <w:bidi w:val="0"/>
        <w:spacing w:before="240" w:after="0"/>
        <w:jc w:val="left"/>
        <w:rPr>
          <w:rFonts w:ascii="Times New Roman" w:hAnsi="Times New Roman"/>
          <w:sz w:val="20"/>
        </w:rPr>
      </w:pPr>
      <w:r>
        <w:rPr>
          <w:rFonts w:ascii="Times New Roman" w:hAnsi="Times New Roman"/>
          <w:sz w:val="20"/>
        </w:rPr>
        <w:t xml:space="preserve">(b) any request, direction, order or demand of the Company mentioned herein shall be sufficiently evidenced by a Company Request or Company Order (unless other evidence in respect thereof be herein specifically prescribed); and any Board Resolution may be evidenced to the Trustee by a copy thereof certified by the Secretary or any Assistant Secretary of the Company; and whenever in the administration of this Indenture the Trustee shall deem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desirable that a matter be proved or established prior to taking, suffering or omitting any action hereunder, the Trustee may rely upon an Officer’s Certificate and/or Opinion of Counsel, and the Trustee shall not be liable for any action taken or omitted to be taken by it in good faith in reliance on such Officer’s Certificate or such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consult with counsel of its selection and the advice of such counsel or any Opinion of Counsel shall be full and complete authorization and protection in respect of any action taken, suffered or omitted by it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(d) the Trustee shall be under no obligation to exercise any of the rights or powers vested in it by this Indenture at the request, order or direction of any of the holders of any Securities pursuant to the provisions of this Indenture, unless such holders shall have offered to the Trustee security or indemnity satisfactory to the Trustee against the costs, expenses and liabilities which might be incurred therein or thereby; </w:t>
      </w:r>
    </w:p>
    <w:p>
      <w:pPr>
        <w:pStyle w:val="TextBody"/>
        <w:bidi w:val="0"/>
        <w:spacing w:before="240" w:after="0"/>
        <w:jc w:val="left"/>
        <w:rPr>
          <w:rFonts w:ascii="Times New Roman" w:hAnsi="Times New Roman"/>
          <w:sz w:val="20"/>
        </w:rPr>
      </w:pPr>
      <w:r>
        <w:rPr>
          <w:rFonts w:ascii="Times New Roman" w:hAnsi="Times New Roman"/>
          <w:sz w:val="20"/>
        </w:rPr>
        <w:t xml:space="preserve">(e) the Trustee shall not be bound to make any investigation into the facts or matters stated in any resolution, certificate, statement, instrument, opinion, report, notice, request, direction, consent, order, bond, debenture, note, coupon or other paper or documents,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w:t>
      </w:r>
    </w:p>
    <w:p>
      <w:pPr>
        <w:pStyle w:val="TextBody"/>
        <w:bidi w:val="0"/>
        <w:spacing w:before="240" w:after="0"/>
        <w:jc w:val="left"/>
        <w:rPr>
          <w:rFonts w:ascii="Times New Roman" w:hAnsi="Times New Roman"/>
          <w:sz w:val="20"/>
        </w:rPr>
      </w:pPr>
      <w:r>
        <w:rPr>
          <w:rFonts w:ascii="Times New Roman" w:hAnsi="Times New Roman"/>
          <w:sz w:val="20"/>
        </w:rPr>
        <w:t xml:space="preserve">(f) the Trustee may execute any of the trusts or powers hereunder or perform any duties hereunder either directly or by or through agents or attorneys and the Trustee shall not be responsible for any misconduct or gross negligence on the part of any agent or attorney appointed with due care by it hereunder; </w:t>
      </w:r>
    </w:p>
    <w:p>
      <w:pPr>
        <w:pStyle w:val="TextBody"/>
        <w:bidi w:val="0"/>
        <w:spacing w:before="240" w:after="0"/>
        <w:jc w:val="left"/>
        <w:rPr>
          <w:rFonts w:ascii="Times New Roman" w:hAnsi="Times New Roman"/>
          <w:sz w:val="20"/>
        </w:rPr>
      </w:pPr>
      <w:r>
        <w:rPr>
          <w:rFonts w:ascii="Times New Roman" w:hAnsi="Times New Roman"/>
          <w:sz w:val="20"/>
        </w:rPr>
        <w:t xml:space="preserve">(g) the Trustee shall not be liable for any action taken, suffered or omitted to be taken by it in good faith and believed by it to be authorized or within the discretion or rights or powers conferred upon it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(h) in no event will the Trustee be responsible or liable for special, indirect, incidental, punitive or consequential loss or damage of any kind whatsoever (including, but not limited to, loss of profit) irrespective of whether the Trustee has been advised of the likelihood of such loss or damage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(i) in no event will the Trustee be responsible or liable for any failure or delay in the performance of its obligations hereunder arising out of or caused by, directly or indirectly, forces beyond its reasonable control, including, without limitation, any act or provision of any present or future law or regulation or governmental authority, strikes, pandemics, work stoppages, accidents, acts of war or terrorism, civil or military disturbances, sabotage, epidemics, riots, nuclear or natural catastrophes, earthquakes, fires, floods, or acts of God, and interruptions, loss or malfunctions of utilities, communications or computer (software or hardware) services, labor disputes, acts of civil or military authorities and governmental actions, or the unavailability of the Federal Reserve Bank wire or telex or other wire or communication facility; it being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understood that the Trustee will use reasonable efforts that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(j) the Trustee shall not be required to give any bond or surety in respect of the performance of its powers hereunder; </w:t>
      </w:r>
    </w:p>
    <w:p>
      <w:pPr>
        <w:pStyle w:val="TextBody"/>
        <w:bidi w:val="0"/>
        <w:spacing w:before="240" w:after="0"/>
        <w:jc w:val="left"/>
        <w:rPr>
          <w:rFonts w:ascii="Times New Roman" w:hAnsi="Times New Roman"/>
          <w:sz w:val="20"/>
        </w:rPr>
      </w:pPr>
      <w:r>
        <w:rPr>
          <w:rFonts w:ascii="Times New Roman" w:hAnsi="Times New Roman"/>
          <w:sz w:val="20"/>
        </w:rPr>
        <w:t xml:space="preserve">(k) the Trustee may request that the Company deliver a certificate setting forth the names of individuals and/or titles of officers authorized at such time to take specified actions pursuant to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(l) the permissive rights of the Trustee to do things enumerated in this Indenture shall not be construed as a duty and, with respect to such permissive rights, the Trustee shall not be answerable other than for its gross negligence or willful misconduct.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7.03. No Responsibility for Recitals, etc. </w:t>
      </w:r>
    </w:p>
    <w:p>
      <w:pPr>
        <w:pStyle w:val="TextBody"/>
        <w:bidi w:val="0"/>
        <w:spacing w:before="240" w:after="0"/>
        <w:jc w:val="left"/>
        <w:rPr>
          <w:rFonts w:ascii="Times New Roman" w:hAnsi="Times New Roman"/>
          <w:sz w:val="20"/>
        </w:rPr>
      </w:pPr>
      <w:r>
        <w:rPr>
          <w:rFonts w:ascii="Times New Roman" w:hAnsi="Times New Roman"/>
          <w:sz w:val="20"/>
        </w:rPr>
        <w:t xml:space="preserve">The recitals contained herein and in the Securities, other than the Trustee’s certificate of authentication, shall be taken as the statements of the Company, and the Trustee assumes no responsibility for the correctness of the same. The Trustee makes no representations as to the validity or sufficiency of any offering materials, this Indenture or of the Securities, provided that the Trustee shall not be relieved of its duty to authenticate Securities only as authorized by this Indenture. The Trustee shall not be accountable for the use or application by the Company of Securities or the proceeds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7.04. Ownership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any authenticating agent, any paying agent, any Security Registrar or any other agent of the Company or of the Trustee, in its individual or any other capacity, may become the owner or pledgee of Securities with the same rights it would have if it were not Trustee, authenticating agent, paying agent, Security Registrar or such other agent of the Company or of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7.05. Moneys to be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12.04 hereof, all moneys received by the Trustee or any paying agent shall, until used or applied as herein provided, be held in trust for the purposes for which they were received, but need not be segregated from other funds except to the extent required by law. Neither the Trustee nor any paying agent shall be under any liability for interest on any moneys received by it hereunder except such as it may agree in writing with the Company to pay thereon.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7.06. Compensation and Expenses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and agrees to pay to the Trustee from time to time, and the Trustee shall be entitled to, such compensation for all services rendered by it hereunder (which to the extent permitted by law shall not be limited by any provision of law in regard to the compensation of a trustee of an express trust), and the Company will pay or reimburse the Trustee forthwith upon its request for all reasonable expenses, disbursements and advances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gross negligence or willful misconduct. If any property other than cash shall at any time be subject to the lien of this Indenture, the Trustee, if and to the extent authorized by a receivership or bankruptcy court of competent jurisdiction or by the supplemental instrument subjecting such property to such lien, shall be entitled to make and to be reimbursed for, advances for the purpose of preserving such property or of discharging tax liens or other prior liens or encumbrances thereon. The Company also covenants to indemnify each of the Trustee and any predecessor Trustee for, and to hold it harmless against, any and all loss, damage, claims, suit, liability or expense, (including attorney’s fees and expenses, and taxes (other than taxes based upon, measured or determined by, the income of the Trustee)) incurred without gross negligence or willful misconduct on the part of the Trustee, arising out of or in connection with the acceptance or administration of this trust, including the costs and expenses of defending itself against any claim of liability, whether asserted by the Company, a Holder or any other person. The obligations of the Company under this Section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 This indemnification shall apply to officers, directors, employees, shareholders and agents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To secure the Company’s obligations under this Section, the Trustee shall have a senior claim to which the Securities are hereby made subordinate on all money or property held or collected by the Trustee, except that held in trust to pay principal of (and premium, if any) and interest, if any, on particular Securities. </w:t>
      </w:r>
    </w:p>
    <w:p>
      <w:pPr>
        <w:pStyle w:val="TextBody"/>
        <w:bidi w:val="0"/>
        <w:spacing w:before="240" w:after="0"/>
        <w:jc w:val="left"/>
        <w:rPr>
          <w:rFonts w:ascii="Times New Roman" w:hAnsi="Times New Roman"/>
          <w:sz w:val="20"/>
        </w:rPr>
      </w:pPr>
      <w:r>
        <w:rPr>
          <w:rFonts w:ascii="Times New Roman" w:hAnsi="Times New Roman"/>
          <w:sz w:val="20"/>
        </w:rPr>
        <w:t xml:space="preserve">When the Trustee incurs expenses or renders services after an Event of Default, the expenses and the compensation for the services are intended to constitute expenses of administration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shall survive the resignation or removal of the Trustee and the termination of this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7.07. Officer</w:t>
      </w:r>
      <w:r>
        <w:rPr>
          <w:rFonts w:ascii="Times New Roman" w:hAnsi="Times New Roman"/>
          <w:sz w:val="20"/>
        </w:rPr>
        <w:t>’</w:t>
      </w:r>
      <w:r>
        <w:rPr>
          <w:rFonts w:ascii="Times New Roman" w:hAnsi="Times New Roman"/>
          <w:b/>
          <w:sz w:val="20"/>
        </w:rPr>
        <w:t>s Certificate or Opinion of Counsel as Evidence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7.01, whenever in the administration of the provisions of this Indenture the Trustee shall deem it necessary or desirable that a matter be proved or established prior to taking or suffering any action to be taken hereunder, such matter (unless other evidence in respect thereof be herein specifically prescribed) may, in the absence of gross negligence or bad faith on the part of the Trustee, be deemed to be conclusively proved and established by an Officer’s Certificate or Opinion of Counsel delivered to the Trustee, and such certificate or opinion, in the absence of gross negligence or bad faith on the part of the Trustee, shall be full warrant to the Trustee for any action taken, suffered or omitted by it under the provisions of this Indenture upon the faith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7.08. Disqualifications; Conflicting Interest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has or shall acquire any “conflicting interest” within the meaning of the Trust Indenture Act, the Trustee and the Company shall in all respects comply with the provisions of Section 310(b) of the Trust Indenture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7.09. Eligibility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shall at all times be a Trustee hereunder which shall be a corporation organized and doing business under the laws of the United States or of any State or Territory thereof or of the District of Columbia, which (a) is authorized under such laws to exercise corporate trust powers, (b) is subject to supervision or examination by federal, state, territorial or District of Columbia authority, (c) shall have at all times a combined capital and surplus of not less than $50,000,000 and (d) shall not be the Company or any person directly or indirectly controlling, controlled by, or under common control with the Company. If such corporation publishes reports of condition at least annually, pursuant to law, or to the requirements of the aforesaid supervising or examining authority, then for the purposes of this Section, the combined capital and surplus of such corporation at any time shall be deemed to be its combined capital and surplus as set forth in its most recent report of condition so published. In case at any time the Trustee shall cease to be eligible in accordance with the provisions of this Section, the Trustee shall resign immediately in the manner and with the effect specified in Section 7.10.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7.10. Resignation or Removal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or any trustee or trustees hereafter appointed, may at any time resign and be discharged from the trust hereby created by giving written notice of resignation to the Company. Upon receiving such notice of resignation, the Company shall promptly appoint a successor trustee with respect to the applicable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at the expense of the Company. Such court may thereupon, after such notice, if any, as it may deem proper and prescribe,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(b) In case at any time any of the following shall occur: </w:t>
      </w:r>
    </w:p>
    <w:p>
      <w:pPr>
        <w:pStyle w:val="TextBody"/>
        <w:bidi w:val="0"/>
        <w:spacing w:before="240" w:after="0"/>
        <w:jc w:val="left"/>
        <w:rPr>
          <w:rFonts w:ascii="Times New Roman" w:hAnsi="Times New Roman"/>
          <w:sz w:val="20"/>
        </w:rPr>
      </w:pPr>
      <w:r>
        <w:rPr>
          <w:rFonts w:ascii="Times New Roman" w:hAnsi="Times New Roman"/>
          <w:sz w:val="20"/>
        </w:rPr>
        <w:t xml:space="preserve">(1) the Trustee shall fail to comply with Section 7.08 with respect to any series of Securities after written request therefor by the Company or by any securityholder who has been a bona fide holder of a Security or Securities of such series for at least six months, or </w:t>
      </w:r>
    </w:p>
    <w:p>
      <w:pPr>
        <w:pStyle w:val="TextBody"/>
        <w:bidi w:val="0"/>
        <w:spacing w:before="240" w:after="0"/>
        <w:jc w:val="left"/>
        <w:rPr>
          <w:rFonts w:ascii="Times New Roman" w:hAnsi="Times New Roman"/>
          <w:sz w:val="20"/>
        </w:rPr>
      </w:pPr>
      <w:r>
        <w:rPr>
          <w:rFonts w:ascii="Times New Roman" w:hAnsi="Times New Roman"/>
          <w:sz w:val="20"/>
        </w:rPr>
        <w:t xml:space="preserve">(2) the Trustee shall cease to be eligible in accordance with the provisions of Section 7.09 with respect to any series of Securities and shall fail to resign after written request therefor by the Company or by any such securityholder, or </w:t>
      </w:r>
    </w:p>
    <w:p>
      <w:pPr>
        <w:pStyle w:val="TextBody"/>
        <w:bidi w:val="0"/>
        <w:spacing w:before="240" w:after="0"/>
        <w:jc w:val="left"/>
        <w:rPr>
          <w:rFonts w:ascii="Times New Roman" w:hAnsi="Times New Roman"/>
          <w:sz w:val="20"/>
        </w:rPr>
      </w:pPr>
      <w:r>
        <w:rPr>
          <w:rFonts w:ascii="Times New Roman" w:hAnsi="Times New Roman"/>
          <w:sz w:val="20"/>
        </w:rPr>
        <w:t xml:space="preserve">(3) the Trustee shall become incapable of acting with respect to any series of Securities, or shall be adjudged a bankrupt or insolvent, or a receiver of the Trustee or of its property shall be appointed, or any public officer shall take charge or control of the Trustee or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its property or affairs for the purpose of rehabilitation, conservation or liquidation, then, in any such case, the Company may remove the Trustee with respect to the applicable series of Securities and appoint a successor trustee with respect to such series by written instrument, in duplicate, executed by order of the Board of Directors, one copy of which instrument shall be delivered to the Trustee so removed and one copy to the successor trustee, or, subject to the provisions of Section 6.14, any securityholder of such series who has been a bona fide holder of a Security or Securities of the applicable series for at least six months may, on behalf of himself or herself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(c) Upon 30 days’ prior written notice, the holders of a majority in aggregate principal amount of the Securities of all series (voting as one class) at the time Outstanding may at any time remove the Trustee with respect to Securities of all series and appoint a successor trustee with respect to the Securities of all series. </w:t>
      </w:r>
    </w:p>
    <w:p>
      <w:pPr>
        <w:pStyle w:val="TextBody"/>
        <w:bidi w:val="0"/>
        <w:spacing w:before="240" w:after="0"/>
        <w:jc w:val="left"/>
        <w:rPr>
          <w:rFonts w:ascii="Times New Roman" w:hAnsi="Times New Roman"/>
          <w:sz w:val="20"/>
        </w:rPr>
      </w:pPr>
      <w:r>
        <w:rPr>
          <w:rFonts w:ascii="Times New Roman" w:hAnsi="Times New Roman"/>
          <w:sz w:val="20"/>
        </w:rPr>
        <w:t xml:space="preserve">(d) Any resignation or removal of the Trustee and any appointment of a successor trustee pursuant to any of the provisions of this Section shall become effective upon the appointment of a successor trustee and the acceptance of appointment by the successor trustee as provided in Section 7.11.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7.11. Acceptance by Successor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successor trustee appointed as provided in Section 7.10 shall execute, acknowledge and deliver to the Company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the rights, powers, duties and obligations with respect to such series of its predecessor hereunder, with like effect as if originally named as trustee herein; but, nevertheless, on the written request of the Company or of the successor trustee, the predecessor trustee shall, upon payment of any amounts then due it pursuant to the provisions of Section 7.06, execute and deliver an instrument transferring to such successor trustee all the rights and powers of the predecessor trustee. Upon request of any such successor trustee, the Company shall execute any and all instruments in writing in order more fully and certainly to vest in and confirm to such successor trustee all such rights and powers. Any trustee, including the initial Trustee, ceasing to act shall, nevertheless, retain a lien upon all property or funds held or collected by such trustee to secure any amounts then due it pursuant to the provisions of Section 7.06. </w:t>
      </w:r>
    </w:p>
    <w:p>
      <w:pPr>
        <w:pStyle w:val="TextBody"/>
        <w:bidi w:val="0"/>
        <w:spacing w:before="240" w:after="0"/>
        <w:jc w:val="left"/>
        <w:rPr>
          <w:rFonts w:ascii="Times New Roman" w:hAnsi="Times New Roman"/>
          <w:sz w:val="20"/>
        </w:rPr>
      </w:pPr>
      <w:r>
        <w:rPr>
          <w:rFonts w:ascii="Times New Roman" w:hAnsi="Times New Roman"/>
          <w:sz w:val="20"/>
        </w:rPr>
        <w:t xml:space="preserve">In case of the appointment hereunder of a successor trustee with respect to the Securities of one or more (but not all) series, the Company,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w:t>
      </w:r>
    </w:p>
    <w:p>
      <w:pPr>
        <w:pStyle w:val="TextBody"/>
        <w:bidi w:val="0"/>
        <w:spacing w:before="240" w:after="0"/>
        <w:jc w:val="left"/>
        <w:rPr>
          <w:rFonts w:ascii="Times New Roman" w:hAnsi="Times New Roman"/>
          <w:sz w:val="20"/>
        </w:rPr>
      </w:pPr>
      <w:r>
        <w:rPr>
          <w:rFonts w:ascii="Times New Roman" w:hAnsi="Times New Roman"/>
          <w:sz w:val="20"/>
        </w:rPr>
        <w:t xml:space="preserve">No successor trustee shall accept appointment as provided in this Section unless at the time of such acceptance such successor trustee shall be qualified and eligible under the provisions of this Article 7. </w:t>
      </w:r>
    </w:p>
    <w:p>
      <w:pPr>
        <w:pStyle w:val="TextBody"/>
        <w:bidi w:val="0"/>
        <w:spacing w:before="240" w:after="0"/>
        <w:jc w:val="left"/>
        <w:rPr>
          <w:rFonts w:ascii="Times New Roman" w:hAnsi="Times New Roman"/>
          <w:sz w:val="20"/>
        </w:rPr>
      </w:pPr>
      <w:r>
        <w:rPr>
          <w:rFonts w:ascii="Times New Roman" w:hAnsi="Times New Roman"/>
          <w:sz w:val="20"/>
        </w:rPr>
        <w:t xml:space="preserve">Upon acceptance of appointment by a successor trustee as provided in this Section, the Company shall mail notice of the succession of such trustee hereunder to all holders of Securities of any applicable series as the names and addresses of such holders shall appear on the registry books. If the Company fails to mail such notice in the prescribed manner within ten days after the acceptance of appointment by the successor trustee, the successor trustee shall cause such notice to be so mailed at the expense of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7.12. Successor by Merger, etc.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trustee hereunder, provided such corporation shall be qualified and eligible under the provisions of this Article 7,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7.13. Limitations on Rights of Trustee as Creditor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7.14. Notice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Within 90 days after the occurrence of any default on a series of Securities hereunder of which a Responsible Officer of the Trustee has received notice or is deemed to have notice in accordance with this Section 7.14, the Trustee shall transmit to all securityholders of that series, in the manner and to the extent provided in Section 15.04, notice of such default hereunder actually known to a Responsible Officer of the Trustee, unless such default shall have been cured or waived; provided, that except in the case of a default in the payment of the principal of or interest on any Security or on the payment of any sinking or purchase fund installment, the Trustee shall be protected in withholding such notice if and so long as a Responsible Officer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in good faith determines that the withholding of such notice is in the interests of the securityholders; and provided, further, that in the case of any default of the character specified in clause (c) of Section 6.01 no such notice to securityholders shall be given until at least 30 days after the occurrence thereof. The Trustee will not be required to take notice or be deemed to have notice of any default or Event of Default, except failure by the Company to pay or cause to be made any of the payments required to be made to the Trustee, unless a Responsible Officer shall receive written notice of such default or Event of Default from the Company or by the holders of at least 25% in aggregate principal amount of the then Outstanding Securities delivered to the Corporate Trust Office of the Trustee and such notice states that it is a notice of a default or Event of Default with respect to the Securities and this Indenture, and in the absence of such notice so delivered the Trustee may conclusively assume no default or Event of Default exists.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7.15. Appointment of Authenticating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appoint an authenticating agent or agents (which may be an affiliate or affiliates of the Company) with respect to one or more series of Securities which shall be authorized to act on behalf of the Trustee to authenticate Securities of such series issued upon original issue or upon exchange, registration of transfer or partial redemption thereof or pursuant to Section 2.09,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or of any State or Territory thereof or of the District of Columbia, which (a) is authorized under such laws to exercise corporate trust powers or to otherwise act as authenticating agent, (b) is subject to supervision or examination by federal, state, territorial or District of Columbia authority, and (c) shall have at all times a combined capital and surplus of not less than $50,000,000.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such authenticating agent, shall continue to be an authenticating agent, provided such corporation shall be otherwise eligible under this Section, without the execution or filing of any paper or any further act on the part of the Trustee or such authenticating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promptly give notice of such appointment to all holders of Securities in the manner and to the extent provided in Section 15.04.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agrees to pay to each authenticating agent from time to time reasonable compensation for its services under this Section. </w:t>
      </w:r>
    </w:p>
    <w:p>
      <w:pPr>
        <w:pStyle w:val="TextBody"/>
        <w:bidi w:val="0"/>
        <w:spacing w:before="240" w:after="0"/>
        <w:jc w:val="left"/>
        <w:rPr>
          <w:rFonts w:ascii="Times New Roman" w:hAnsi="Times New Roman"/>
          <w:sz w:val="20"/>
        </w:rPr>
      </w:pPr>
      <w:r>
        <w:rPr>
          <w:rFonts w:ascii="Times New Roman" w:hAnsi="Times New Roman"/>
          <w:sz w:val="20"/>
        </w:rPr>
        <w:t xml:space="preserve">If an appointment with respect to one or more series is made pursuant to this Section, the Securities of such series may have endorsed thereon, in addition to the Trustee’s certificate of authentication, an alternative certificate of authentication in the following form: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40"/>
        <w:gridCol w:w="152"/>
        <w:gridCol w:w="3090"/>
      </w:tblGrid>
      <w:tr>
        <w:trPr/>
        <w:tc>
          <w:tcPr>
            <w:tcW w:w="84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309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Trustee</w:t>
            </w:r>
          </w:p>
        </w:tc>
      </w:tr>
      <w:tr>
        <w:trPr>
          <w:trHeight w:val="240" w:hRule="atLeast"/>
        </w:trPr>
        <w:tc>
          <w:tcPr>
            <w:tcW w:w="840" w:type="dxa"/>
            <w:tcBorders/>
            <w:vAlign w:val="center"/>
          </w:tcPr>
          <w:p>
            <w:pPr>
              <w:pStyle w:val="TableContents"/>
              <w:bidi w:val="0"/>
              <w:spacing w:before="0" w:after="283"/>
              <w:jc w:val="left"/>
              <w:rPr>
                <w:sz w:val="4"/>
                <w:szCs w:val="4"/>
              </w:rPr>
            </w:pPr>
            <w:r>
              <w:rPr>
                <w:sz w:val="4"/>
                <w:szCs w:val="4"/>
              </w:rPr>
            </w:r>
          </w:p>
        </w:tc>
        <w:tc>
          <w:tcPr>
            <w:tcW w:w="3242" w:type="dxa"/>
            <w:gridSpan w:val="2"/>
            <w:tcBorders/>
            <w:vAlign w:val="center"/>
          </w:tcPr>
          <w:p>
            <w:pPr>
              <w:pStyle w:val="TableContents"/>
              <w:bidi w:val="0"/>
              <w:spacing w:before="0" w:after="283"/>
              <w:jc w:val="left"/>
              <w:rPr>
                <w:sz w:val="4"/>
                <w:szCs w:val="4"/>
              </w:rPr>
            </w:pPr>
            <w:r>
              <w:rPr>
                <w:sz w:val="4"/>
                <w:szCs w:val="4"/>
              </w:rPr>
            </w:r>
          </w:p>
        </w:tc>
      </w:tr>
      <w:tr>
        <w:trPr/>
        <w:tc>
          <w:tcPr>
            <w:tcW w:w="840" w:type="dxa"/>
            <w:tcBorders/>
          </w:tcPr>
          <w:p>
            <w:pPr>
              <w:pStyle w:val="TableContents"/>
              <w:bidi w:val="0"/>
              <w:spacing w:before="0" w:after="283"/>
              <w:jc w:val="left"/>
              <w:rPr/>
            </w:pPr>
            <w:r>
              <w:rPr/>
              <w:t>By:</w:t>
            </w:r>
          </w:p>
        </w:tc>
        <w:tc>
          <w:tcPr>
            <w:tcW w:w="152" w:type="dxa"/>
            <w:tcBorders>
              <w:bottom w:val="single" w:sz="2" w:space="0" w:color="000000"/>
            </w:tcBorders>
            <w:tcMar>
              <w:bottom w:w="28" w:type="dxa"/>
            </w:tcMar>
            <w:vAlign w:val="bottom"/>
          </w:tcPr>
          <w:p>
            <w:pPr>
              <w:pStyle w:val="TableContents"/>
              <w:bidi w:val="0"/>
              <w:spacing w:before="0" w:after="283"/>
              <w:jc w:val="left"/>
              <w:rPr/>
            </w:pPr>
            <w:r>
              <w:rPr/>
              <w:t> </w:t>
            </w:r>
          </w:p>
        </w:tc>
        <w:tc>
          <w:tcPr>
            <w:tcW w:w="3090"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Authorized Signatory</w:t>
            </w:r>
          </w:p>
        </w:tc>
      </w:tr>
      <w:tr>
        <w:trPr/>
        <w:tc>
          <w:tcPr>
            <w:tcW w:w="4082" w:type="dxa"/>
            <w:gridSpan w:val="3"/>
            <w:tcBorders/>
          </w:tcPr>
          <w:p>
            <w:pPr>
              <w:pStyle w:val="TableContents"/>
              <w:bidi w:val="0"/>
              <w:spacing w:before="0" w:after="283"/>
              <w:jc w:val="left"/>
              <w:rPr/>
            </w:pPr>
            <w:r>
              <w:rPr/>
              <w:t>Date:</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all of the Securities of a series may not be originally issued at one time, and the Trustee does not have an office capable of authenticating Securities upon original issuance located in a Place of Payment where the Company wishes to have Securities of such series authenticated upon original issuance, the Trustee, if so requested by the Company in writing, shall appoint in accordance with this Section an authenticating agent (which, if so requested by the Company, shall be such affiliate of the Company) having an office in a Place of Payment designated by the Company with respect to such series of Securities, provided that the terms and conditions of such appointment are acceptable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0" w:after="0"/>
        <w:jc w:val="center"/>
        <w:rPr>
          <w:rFonts w:ascii="Times New Roman" w:hAnsi="Times New Roman"/>
          <w:b/>
          <w:sz w:val="20"/>
        </w:rPr>
      </w:pPr>
      <w:r>
        <w:rPr>
          <w:rFonts w:ascii="Times New Roman" w:hAnsi="Times New Roman"/>
          <w:b/>
          <w:sz w:val="20"/>
        </w:rPr>
        <w:t xml:space="preserve">CONCERNING THE SECURITYHOLDERS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8.01. Action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in this Indenture it is provided that the holders of a specified percentage in aggregate principal amount of the Securities of any or all series may take any action (including the making of any demand or request, the giving of any authorization, notice, consent or waiver or the taking of any other action), the fact that at the time of taking any such action the holders of such specified percentage have joined therein may be evidenced (a) by any instrument or any number of instruments of similar tenor executed by securityholders in person or by agent or proxy appointed in writing, or (b) by a combination of such instrument or instruments and any such record of such a meeting of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a specified percentage in aggregate principal amount of the Securities of any or all series have taken any action (including the making of any demand or request, the giving of any authorization, direction, notice, consent or waiver or the taking of any other action), (i) the principal amount of any Original Issue Discount Security that may be counted in making such determination and that shall be deemed to be outstanding for such purposes shall be equal to the amount of the principal thereof that could be declared to be due and payable upon an Event of Default pursuant to the terms of such Original Issue Discount Security at the time the taking of such of such action is evidenced to the Trustee, and (ii) the principal amount of a Security denominated in a foreign currency or currency unit shall be the Dollar equivalent, determined as of the date of original issuance of such Security in accordance with Section 2.03 hereof, of the principal amount of such Security.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8.02. Proof of Execution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7.01, Section 7.02 and Section 9.05, proof of the execution of any instrument by a securityholder or its agent or proxy, or of the holding by any person of a Security, shall be sufficient and conclusive in favor of the Trustee and the Company if made in accordance with such reasonable rules and regulations as may be prescribed by the Trustee or in such manner as shall be satisfactory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principal amount and serial numbers of Registered Securities held by any person, and the date of holding the same, shall be proved by the Security Register. </w:t>
      </w:r>
    </w:p>
    <w:p>
      <w:pPr>
        <w:pStyle w:val="TextBody"/>
        <w:bidi w:val="0"/>
        <w:spacing w:before="240" w:after="0"/>
        <w:jc w:val="left"/>
        <w:rPr>
          <w:rFonts w:ascii="Times New Roman" w:hAnsi="Times New Roman"/>
          <w:sz w:val="20"/>
        </w:rPr>
      </w:pPr>
      <w:r>
        <w:rPr>
          <w:rFonts w:ascii="Times New Roman" w:hAnsi="Times New Roman"/>
          <w:sz w:val="20"/>
        </w:rPr>
        <w:t xml:space="preserve">The record of any securityholders’ meeting shall be proved in the manner provided in Section 9.06.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8.03. Who Are Deemed Absolute Owners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a Registered Security for registration of transfer, the Company, the Trustee and any agent of the Company or of the Trustee may deem the person in whose name such Registered Security shall be registered upon the Security Register to be, and may treat him as, the absolute owner of such Registered Security (whether or not such Security shall be overdue and notwithstanding any notation of ownership or other writing thereon), for the purpose of receiving payment of or on account of the principal of (and premium, if any) and, subject to the provisions of Section 2.05 and Section 2.07, any interest on such Security and for all other purposes; and neither the Company nor the Trustee nor any agent of the Company or of the Trustee shall be affected by any notice to the contrary. All such payments so made to any holder for the time being, or upon his or her order, shall be valid and, to the extent of the sum or sums so paid, effectual to satisfy and discharge the liability for moneys payable upon any such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with respect to any temporary or permanent global Security, nothing herein shall prevent the Company, the Trustee, or any agent of the Company or of the Trustee, from giving effect to any written certification, proxy or other authorization furnished by a Depositary, or impair, as between a Depositary and holders of beneficial interests in any temporary or permanent global Security, as the case may be, the operation of customary practices governing the exercise of the rights of the Depositary as holder of such temporary or permanent global Security.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8.04. Company-Owned Securities Disregarded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required aggregate principal amount of Securities have provided any request, demand, authorization, notice, direction, consent or waiver under this Indenture, Securities which are owned by the Company or any other obligor on the Securities, or by any person directly or indirectly controlling or controlled by or under direct or indirect common control with the Company or any other obligor on the Securities, shall be disregarded and deemed not to be Outstanding for the purpose of any such determination, except that for the purpose of determining whether the Trustee shall be protected in relying on any such request, demand, authorization, direction, notice, consent or waiver, only Securities which a Responsible Officer of the Trustee actually knows are so owned shall be so disregarded. Securities so owned which have been pledged in good faith may be regarded as Outstanding for the purposes of this Section if the pledgee shall establish to the satisfaction of the Trustee the pledgee’s right to vote such Securities and that the pledgee is not a person directly or indirectly controlling or controlled by or under direct or indirect common control with the Company or any such other obligor. In the case of a dispute as to such right, any decision by the Trustee taken upon the advice of counsel shall be full protection to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8.05. Revocation of Consents; Future Securityholders Bound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the taking of any action by the holders of the percentage in aggregate principal amount of the Securities specified in this Indenture in connection with such action, any holder of a Security, the identifying number of which is shown by the evidence to be included in the Securities the holders of which have consented to such action, may, by filing written notice with the Trustee at its Corporate Trust Office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upon registration of transfer of or in exchange or substitution therefor in respect of anything done, omitted or suffered to be done by the Trustee or the Company in reliance thereon, irrespective of whether or not any notation in regard thereto is made upon such Security. Any action taken by the holders of the percentage in aggregate principal amount of the Securities specified in this Indenture in connection with such action shall be conclusively binding upon the Company, the Trustee and the holders of all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8.06. Record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but shall not be obligated to, set a record date for purposes of determining the identity of holders of Securities of any series entitled to vote or consent to any action by vote or consent or to otherwise take any action under this Indenture authorized or permitted by Section 6.12 and Section 6.13 or otherwise under this Indenture. Such record date shall be the later of (i) the date 20 days prior to the first solicitation of such consent or vote or other action and (ii) the date of the most recent list of holders of such Securities delivered to the principal Corporate Trust Office of the Trustee pursuant to Section 5.01 prior to such solicitation. If such a record date is fixed, those persons who were holders of such Securities at the close of business on such record date shall be entitled to vote or consent or take such other action, or to revoke any such action, whether or not such persons continue to be holders after such record date, and for that purpose the Outstanding Securities shall be computed as of such record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0" w:after="0"/>
        <w:jc w:val="center"/>
        <w:rPr>
          <w:rFonts w:ascii="Times New Roman" w:hAnsi="Times New Roman"/>
          <w:b/>
          <w:sz w:val="20"/>
        </w:rPr>
      </w:pPr>
      <w:r>
        <w:rPr>
          <w:rFonts w:ascii="Times New Roman" w:hAnsi="Times New Roman"/>
          <w:b/>
          <w:sz w:val="20"/>
        </w:rPr>
        <w:t xml:space="preserve">SECURITYHOLDERS’ MEETINGS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9.01. Purposes of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meeting of holders of any or all series of Securities may be called at any time and from time to time pursuant to the provisions of this Article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(a) to give any notice to the Company or to the Trustee, or to give any directions to the Trustee, or to waive any default hereunder and its consequences, or to take any other action authorized to be taken by securityholders pursuant to any of the provisions of Article 6; </w:t>
      </w:r>
    </w:p>
    <w:p>
      <w:pPr>
        <w:pStyle w:val="TextBody"/>
        <w:bidi w:val="0"/>
        <w:spacing w:before="240" w:after="0"/>
        <w:jc w:val="left"/>
        <w:rPr>
          <w:rFonts w:ascii="Times New Roman" w:hAnsi="Times New Roman"/>
          <w:sz w:val="20"/>
        </w:rPr>
      </w:pPr>
      <w:r>
        <w:rPr>
          <w:rFonts w:ascii="Times New Roman" w:hAnsi="Times New Roman"/>
          <w:sz w:val="20"/>
        </w:rPr>
        <w:t xml:space="preserve">(b) to remove the Trustee and appoint a successor trustee pursuant to the provisions of Article 7; </w:t>
      </w:r>
    </w:p>
    <w:p>
      <w:pPr>
        <w:pStyle w:val="TextBody"/>
        <w:bidi w:val="0"/>
        <w:spacing w:before="240" w:after="0"/>
        <w:jc w:val="left"/>
        <w:rPr>
          <w:rFonts w:ascii="Times New Roman" w:hAnsi="Times New Roman"/>
          <w:sz w:val="20"/>
        </w:rPr>
      </w:pPr>
      <w:r>
        <w:rPr>
          <w:rFonts w:ascii="Times New Roman" w:hAnsi="Times New Roman"/>
          <w:sz w:val="20"/>
        </w:rPr>
        <w:t xml:space="preserve">(c) to consent to the execution of an indenture or indentures supplemental hereto pursuant to the provisions of Section 10.02; or </w:t>
      </w:r>
    </w:p>
    <w:p>
      <w:pPr>
        <w:pStyle w:val="TextBody"/>
        <w:bidi w:val="0"/>
        <w:spacing w:before="240" w:after="0"/>
        <w:jc w:val="left"/>
        <w:rPr>
          <w:rFonts w:ascii="Times New Roman" w:hAnsi="Times New Roman"/>
          <w:sz w:val="20"/>
        </w:rPr>
      </w:pPr>
      <w:r>
        <w:rPr>
          <w:rFonts w:ascii="Times New Roman" w:hAnsi="Times New Roman"/>
          <w:sz w:val="20"/>
        </w:rPr>
        <w:t xml:space="preserve">(d) to take any other action authorized to be taken by or on behalf of the holders of any specified aggregate principal amount of the Securities of any or all series, as the case may be, under any other provision of this Indenture or under applicable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9.02. Call of Meetings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at any time call a meeting of securityholders of any or all series to take any action specified in Section 9.01, to be held at such time and at such place in New York, New York as the Trustee shall determine. Notice of every meeting of the securityholders of any or all series, setting forth the time and place of such meeting and in general terms the action proposed to be taken at such meeting, shall be given in the manner provided in Section 15.04 not less than 20 nor more than 180 days prior to the date fixed for the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9.03. Call of Meetings by Company or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at any time the Company, pursuant to a Board Resolution, or the holders of at least 10% in aggregate principal amount of the Securities of any or all series, as the case may be, then Outstanding, shall have requested the Trustee to call a meeting of securityholders of any or all series to take any action authorized in Section 9.01, by written request setting forth in reasonable detail the action proposed to be taken at the meeting, and the Trustee shall not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provided notice of such meeting in the manner provided in Section 15.04 within 30 days after receipt of such request, then the Company or the holders of such Securities in the amount above specified may determine the time and the place in New York, New York for such meeting and may call such meeting by giving notice thereof as provided in Section 9.02.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9.04. Qualifications for Voting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be entitled to vote at any meeting of securityholders a person shall be a holder of one or more Securities of such series Outstanding with respect to which a meeting is being held or a person appointed by an instrument in writing as proxy by such a holder or holders. The only persons who shall be entitled to be present or to speak at any meeting of the securityholders of any series shall be the persons entitled to vote at such meeting and their counsel and any representatives of the Trustee and its counsel and any representatives of the Company and its counsel.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9.05. Regulations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provisions of this Indenture, the Trustee may make such reasonable regulations as it may deem advisable for any meeting of securityholders of a series,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deems fit. Except as otherwise permitted or required by any such regulations, the holding of Securities shall be proved in the manner specified in Article 8 and the appointment of any proxy shall be proved in the manner specified in Article 8. Such regulations may provide that written instruments appointing proxies, regular on their face, may be presumed valid and genuine without the proof specified in Article 8 or other proof.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by an instrument in writing, appoint a temporary chairman of the meeting, unless the meeting shall have been called by the Company or by securityholders as provided in Section 9.03, in which case the Company or the securityholders calling the meeting, as the case may be, shall in like manner appoint a temporary chairman. A permanent chairman and a permanent secretary of the meeting shall be elected by vote of the holders of a majority in principal amount of the Securities represented at the meeting and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8.01 and Section 8.04, at any meeting each securityholder or proxy shall be entitled to one vote for each $1,000 (or the Dollar equivalent thereof in connection with Securities issued in a foreign currency or currency unit) Outstanding principal amount of Securities of such series held or represented by him or her; provided, however, that no vote shall be cast or counted at any meeting in respect of any Security challenged as not Outstanding and ruled by the chairman of the meeting to be not Outstanding. The chairman of the meeting shall have no right to vote except as a securityholder or proxy. Any meeting of securityholders duly called pursuant to the provisions of Section 9.02 or Section 9.03 may be adjourned from time to time, and the meeting may be reconvened without further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9.06. Voting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vote upon any resolution submitted to any meeting of securityholders shall be by written ballot on which shall be subscribed the signatures of the securityholders or proxies and on which shall be inscribed the identifying number or numbers or to which shall be attached a list of identifying numbers of the Securities held or represented by them. The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securityholders shall be prepared by the secretary of the meeting and there shall be attached to the record the original reports of the inspectors of votes on any vote by ballot taken thereat and affidavits by one or more persons having knowledge of the facts setting forth a copy of the notice of the meeting and showing that the notice was mailed as provided in Section 9.02. The record shall be signed and verified by the chairman and secretary of the meeting and one of the duplicates shall be delivered to the Company and the other to the Trustee to be preserved by the Trustee, the latter to have attached thereto the ballots voted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Any record so signed and verified shall be conclusive evidence of the matters therein stated.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10.01. Supplemental Indentures without 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Without the consent of any holders of Securities, the Company, when authorized by or pursuant to Board Resolution, and the Trustee may from time to time and at any time enter into an indenture or indentures supplemental hereto (which shall conform to the provisions of the Trust Indenture Act as in force at the date of the execution thereof) for one or more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(a) to evidence the succession of another corporation to the Company, or successive successions, pursuant to Article 11 hereof, and the assumption by the successor corporation of the covenants, agreements and obligations of the Company herein and in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(b) to add to the covenants of the Company such further covenants, restrictions, conditions or provisions as its Board of Directors shall consider to be for the protection of the holders of Securities, and to make the occurrence, or the occurrence and continuance, of a default in any of such additional covenants, restrictions, conditions or provisions an Event of Default permitting the enforcement of all or any of the several remedies provided in this Indenture as herein set forth, with such period of grace, if any, and subject to such conditions as such supplemental indenture may provide; </w:t>
      </w:r>
    </w:p>
    <w:p>
      <w:pPr>
        <w:pStyle w:val="TextBody"/>
        <w:bidi w:val="0"/>
        <w:spacing w:before="240" w:after="0"/>
        <w:jc w:val="left"/>
        <w:rPr>
          <w:rFonts w:ascii="Times New Roman" w:hAnsi="Times New Roman"/>
          <w:sz w:val="20"/>
        </w:rPr>
      </w:pPr>
      <w:r>
        <w:rPr>
          <w:rFonts w:ascii="Times New Roman" w:hAnsi="Times New Roman"/>
          <w:sz w:val="20"/>
        </w:rPr>
        <w:t xml:space="preserve">(c) to establish any series of Securities and the form or terms of securities of any series as permitted by Section 2.01 and Section 2.03, including, without limitation, any conversion or exchange provisions applicable to Securities that are convertible into or exchangeable for other securities or property, and any deletions from or additions or changes to this Indenture in connection therewith (provided that any such deletions, additions and changes shall not be applicable to any other series of Securities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add any additional Events of Default with respect to all or any series of Securities (as shall be specified in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(e) to supplement any of the provisions of this Indenture to such extent as shall be necessary to permit or facilitate the defeasance, covenant defeasance and/or satisfaction and discharge of any series of Securities pursuant to Article 14, provided that any such action shall not adversely affect the interests of any holder of a Security of such series or any other Security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(f) in the case of any series of Securities which are convertible into or exchangeable for commodities or for the securities of the Company to safeguard or provide for the conversion or exchange rights, as the case may be, of such Securities in the event of any reclassification or change of outstanding securities or any merger, consolidation, statutory share exchange or combination of the Company with or into another Person or any sale, lease, assignment, transfer, disposition or other conveyance of all or substantially all of the properties and assets of the Company to any other Person or other similar transactions in accordance with the terms of this Indenture or if expressly required by the terms of such series of Securities established pursuant to Section 2.03; </w:t>
      </w:r>
    </w:p>
    <w:p>
      <w:pPr>
        <w:pStyle w:val="TextBody"/>
        <w:bidi w:val="0"/>
        <w:spacing w:before="240" w:after="0"/>
        <w:jc w:val="left"/>
        <w:rPr>
          <w:rFonts w:ascii="Times New Roman" w:hAnsi="Times New Roman"/>
          <w:sz w:val="20"/>
        </w:rPr>
      </w:pPr>
      <w:r>
        <w:rPr>
          <w:rFonts w:ascii="Times New Roman" w:hAnsi="Times New Roman"/>
          <w:sz w:val="20"/>
        </w:rPr>
        <w:t xml:space="preserve">(g) to add to, delete from or revise the conditions, limitations or restrictions on issue, authentication and delivery of Securities of any series; </w:t>
      </w:r>
    </w:p>
    <w:p>
      <w:pPr>
        <w:pStyle w:val="TextBody"/>
        <w:bidi w:val="0"/>
        <w:spacing w:before="240" w:after="0"/>
        <w:jc w:val="left"/>
        <w:rPr>
          <w:rFonts w:ascii="Times New Roman" w:hAnsi="Times New Roman"/>
          <w:sz w:val="20"/>
        </w:rPr>
      </w:pPr>
      <w:r>
        <w:rPr>
          <w:rFonts w:ascii="Times New Roman" w:hAnsi="Times New Roman"/>
          <w:sz w:val="20"/>
        </w:rPr>
        <w:t xml:space="preserve">(h) to modify, eliminate or add to the provisions of this Indenture to such extent as shall be necessary to effect the qualification of this Indenture under the Trust Indenture Act, or under any similar federal statute hereafter enacted, and to add to this Indenture such other provisions as may be expressly permitted by the Trust Indenture Act, excluding however, the provisions referred to in Section 316(a)(2) of the Trust Indenture Act or any corresponding provision in any similar federal statute hereafter enacted; </w:t>
      </w:r>
    </w:p>
    <w:p>
      <w:pPr>
        <w:pStyle w:val="TextBody"/>
        <w:bidi w:val="0"/>
        <w:spacing w:before="240" w:after="0"/>
        <w:jc w:val="left"/>
        <w:rPr>
          <w:rFonts w:ascii="Times New Roman" w:hAnsi="Times New Roman"/>
          <w:sz w:val="20"/>
        </w:rPr>
      </w:pPr>
      <w:r>
        <w:rPr>
          <w:rFonts w:ascii="Times New Roman" w:hAnsi="Times New Roman"/>
          <w:sz w:val="20"/>
        </w:rPr>
        <w:t xml:space="preserve">(i) to modify, eliminate or add to any of the provisions of this Indenture, provided that any such change or elimination (i) shall become effective only when there is no Security of any series Outstanding and created prior to the execution of such supplemental indenture that is entitled to the benefit of such provision or (ii) shall not apply to any Security Outstanding; </w:t>
      </w:r>
    </w:p>
    <w:p>
      <w:pPr>
        <w:pStyle w:val="TextBody"/>
        <w:bidi w:val="0"/>
        <w:spacing w:before="240" w:after="0"/>
        <w:jc w:val="left"/>
        <w:rPr>
          <w:rFonts w:ascii="Times New Roman" w:hAnsi="Times New Roman"/>
          <w:sz w:val="20"/>
        </w:rPr>
      </w:pPr>
      <w:r>
        <w:rPr>
          <w:rFonts w:ascii="Times New Roman" w:hAnsi="Times New Roman"/>
          <w:sz w:val="20"/>
        </w:rPr>
        <w:t xml:space="preserve">(j) to conform this Indenture or the Securities to the description thereof in the related prospectus, offering memorandum or disclosure document (as provided in an Officer’s Certificate delivered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(k) to cure any ambiguity or to correct or supplement any provision contained herein or in any supplemental indenture which may be defective or inconsistent with any other provisions contained herein or in any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(l) to add guarantees with respect to, or to secure, any series of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to evidence and provide for the acceptance and appointment hereunder by a successor trustee with respect to the Securities of one or more series and to add or change any provisions of this Indenture as shall be necessary to provide for or facilitate the administration of the trusts hereunder by more than one trustee, pursuant to Section 7.11; and </w:t>
      </w:r>
    </w:p>
    <w:p>
      <w:pPr>
        <w:pStyle w:val="TextBody"/>
        <w:bidi w:val="0"/>
        <w:spacing w:before="240" w:after="0"/>
        <w:jc w:val="left"/>
        <w:rPr>
          <w:rFonts w:ascii="Times New Roman" w:hAnsi="Times New Roman"/>
          <w:sz w:val="20"/>
        </w:rPr>
      </w:pPr>
      <w:r>
        <w:rPr>
          <w:rFonts w:ascii="Times New Roman" w:hAnsi="Times New Roman"/>
          <w:sz w:val="20"/>
        </w:rPr>
        <w:t xml:space="preserve">(n) to make any change to the Securities of any series or to make any other provisions in regard to matters or questions arising under this Indenture that do not adversely affect the legal rights under this Indenture of any holder of Securities of any series issued under this Indenture, including provisions necessary or desirable to provide for or facilitate the administration of the trusts hereunder.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hereby authorized to join with the Company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adversely affects the Trustee’s own rights, duties or immunities under this Indenture or otherwise. No supplemental indenture shall be effective as against the Trustee unless and until the Trustee has duly executed and delivered the same.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10.02. Supplemental Indentures with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the consent (evidenced as provided in Section 8.01) of the holders of not less than a majority in aggregate principal amount of the Securities of all series at the time Outstanding affected by such supplemental indenture (voting as one class), the Company, when authorized by a Board Resolution, and the Trustee may from time to time and at any time enter into an indenture or indentures supplemental hereto (which shall conform to the provisions of the Trust Indenture Act as in force at the date of the execution thereof) for the purpose of adding any provisions to or changing in any manner or eliminating any of the provisions of this Indenture or of any supplemental indenture or of modifying in any manner the rights of the holders of the Securities of such series under this Indenture; provided, that without the consent of the holder of each Outstanding Security so affected thereby, no such supplemental indenture shall (a) extend the fixed maturity of any Securities, or reduce the principal amount thereof or premium, if any, or reduce the rate or extend the time of payment of interest thereon, (b) reduce the percentage in aggregate principal amount of the Outstanding Securities, the consent of whose holders is required to amend or supplement this Indenture, (c) modify the subordination provisions in a manner adverse to the holders of such Securities, or (d) make any change to the provisions of this Indenture to remove any of the limitations in this paragraph upon the Company or the Trustee.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Company, accompanied by a copy of a Board Resolution certified by the Secretary or an Assistant Secretary of the Company authorizing the execution of any such supplemental indenture, and upon the filing with the Trustee of evidence of the consent of securityholders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shall not be necessary for the consent of the securityholders under this Section to approve the particular form of any proposed supplemental indenture, but it shall be sufficient if such consent shall approve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execution by the Company and the Trustee of any supplemental indenture pursuant to the provisions of this Article 10, the Company shall provide notice, in the manner and to the extent provided in Section 15.04, setting forth in general terms the substance of such supplemental indenture, to all holders of Securities of each series so affected. Any failure of the Company so to provide such notice, or any defect therein, shall not, however, in any way impair or affect the validity of any such supplemental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10.03. Compliance with Trust Indenture Act; Effect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supplemental indenture executed pursuant to the provisions of this Article 10 shall comply with the Trust Indenture Act, as then in effect. Upon the execution of any supplemental indenture pursuant to the provisions of this Article 10 and subject to the provisions in any supplemental indenture relating to the prospective application of such instrument, this Indenture shall be and be deemed to be modified and amended in accordance therewith and the respective rights, limitations of rights, obligations, duties and immunities under this Indenture of the Trustee, the Company and the holders of Securities theretofore or thereafter authenticated and delivered hereunder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t>
      </w:r>
    </w:p>
    <w:p>
      <w:pPr>
        <w:pStyle w:val="TextBody"/>
        <w:bidi w:val="0"/>
        <w:spacing w:before="240" w:after="0"/>
        <w:jc w:val="left"/>
        <w:rPr>
          <w:rFonts w:ascii="Times New Roman" w:hAnsi="Times New Roman"/>
          <w:sz w:val="20"/>
        </w:rPr>
      </w:pPr>
      <w:r>
        <w:rPr>
          <w:rFonts w:ascii="Times New Roman" w:hAnsi="Times New Roman"/>
          <w:sz w:val="20"/>
        </w:rPr>
        <w:t xml:space="preserve">The Trustee, subject to the provisions of Section 7.01 and Section 7.02, shall be entitled to receive and shall be fully protected in relying upon an Officer’s Certificate and Opinion of Counsel as conclusive evidence that any such supplemental indenture complies with the provisions of this Article 10 and that all conditions precedent thereto have been satisfied.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10.04. Notation on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series authenticated and delivered after the execution of any supplemental indenture pursuant to the provisions of this Article 10 may bear a notation in form approved by the Company as to any matter provided for in such supplemental indenture. New Securities of any series so modified as to conform, in the opinion of the Company and the Board of Directors, to any modification of this Indenture contained in any such supplemental indenture may be prepared by the Company, authenticated by the Trustee and delivered, without charge to the securityholders, in exchange for the Securities of such series then Outstanding.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10.05. Trustee to Sign Supplemental Indentures, Etc.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sign any indenture or supplemental indenture authorized pursuant to this Article 10 if the indenture or supplement indenture does not adversely affect the rights, duties, liabilities, indemnities or immunities of the Trustee. If it does, the Trustee may, but need not sign it. In signing such indenture or supplemental indenture, the Trustee shall be provided with, and (subject to Section 7.01) shall be fully protected in relying upon, an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Certificate and an Opinion of Counsel stating that such amendment or supplement is authorized or permitted pursuant to this Indenture and that the conditions precedent have been satisfied.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CONSOLIDATION, MERGER, SALE OR CONVEYANCE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11.01. Company May Consolidate, etc., on Certain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that it will not merge into or consolidate with any other corporation or sell or convey all or substantially all of its assets to any person, firm or corporation, unless (a) either the Company shall be the continuing corporation, or the successor corporation (if other than the Company) shall be a corporation organized and existing under the laws of the United States of America or a state thereof or the District of Columbia and such corporation shall expressly assume the due and punctual payment of the principal of (and premium, if any, on) and any interest on all the Securities, according to their tenor, and the due and punctual performance and observance of all of the covenants and conditions of this Indenture to be performed by the Company by supplemental indenture in form satisfactory to the Trustee, executed and delivered to the Trustee by such corporation, and (b) the Company or such successor corporation, as the case may be, shall not, immediately after such merger or consolidation, or such sale or conveyance, be in default in the performance of any such covenant or condition.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11.02. Successor Corporation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such consolidation, merger, sale or conveyance and upon any such assumption by the successor corporation, such successor corporation shall succeed to and be substituted for, and may exercise every right and power of, the Company, with the same effect as if it had been named herein as the party of the first part.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make available for delivery any Securities which previously shall have been signed and delivered by an Authorized Officer of the Company to the Trustee for authentication, and any Securities which such successor corporation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thereof.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such consolidation, merger, sale or conveyance such changes in phraseology and form (but not in substance) may be made in the Securities thereafter to be issued as may be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11.03. Opinion of Counsel and Officer</w:t>
      </w:r>
      <w:r>
        <w:rPr>
          <w:rFonts w:ascii="Times New Roman" w:hAnsi="Times New Roman"/>
          <w:sz w:val="20"/>
        </w:rPr>
        <w:t>’</w:t>
      </w:r>
      <w:r>
        <w:rPr>
          <w:rFonts w:ascii="Times New Roman" w:hAnsi="Times New Roman"/>
          <w:b/>
          <w:sz w:val="20"/>
        </w:rPr>
        <w:t>s Certificate to be Given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receive an Opinion of Counsel and Officer’s Certificate as conclusive evidence that any such consolidation, merger, sale or conveyance, and any such assumption (and any supplemental indenture executed pursuant to this Article 11), complies with the provisions of this Article 11 and that all conditions precedent herein provided for relating to such transaction (and the execution of any supplemental indenture) have been complied with.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0" w:after="0"/>
        <w:jc w:val="center"/>
        <w:rPr>
          <w:rFonts w:ascii="Times New Roman" w:hAnsi="Times New Roman"/>
          <w:b/>
          <w:sz w:val="20"/>
        </w:rPr>
      </w:pPr>
      <w:r>
        <w:rPr>
          <w:rFonts w:ascii="Times New Roman" w:hAnsi="Times New Roman"/>
          <w:b/>
          <w:sz w:val="20"/>
        </w:rPr>
        <w:t xml:space="preserve">SATISFACTION AND DISCHARGE OF INDENTURE; UNCLAIMED MONEYS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12.01. Discharge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w:t>
      </w:r>
    </w:p>
    <w:p>
      <w:pPr>
        <w:pStyle w:val="TextBody"/>
        <w:bidi w:val="0"/>
        <w:spacing w:before="120" w:after="0"/>
        <w:jc w:val="left"/>
        <w:rPr>
          <w:rFonts w:ascii="Times New Roman" w:hAnsi="Times New Roman"/>
          <w:sz w:val="20"/>
        </w:rPr>
      </w:pPr>
      <w:r>
        <w:rPr>
          <w:rFonts w:ascii="Times New Roman" w:hAnsi="Times New Roman"/>
          <w:sz w:val="20"/>
        </w:rPr>
        <w:t xml:space="preserve">(a) (1) the Company shall have delivered to the Trustee for cancellation all Securities of any series theretofore authenticated (other than (i) Securities that have been destroyed, lost or stolen and that have been replaced or paid as provided in Section 2.09, and (ii) Securities for whose payment money has theretofore been deposited in trust or segregated and held in trust by the Company and thereafter repaid to the Company or discharged from such trust, as provided in Section 4.03), or </w:t>
      </w:r>
    </w:p>
    <w:p>
      <w:pPr>
        <w:pStyle w:val="TextBody"/>
        <w:bidi w:val="0"/>
        <w:spacing w:before="240" w:after="0"/>
        <w:jc w:val="left"/>
        <w:rPr>
          <w:rFonts w:ascii="Times New Roman" w:hAnsi="Times New Roman"/>
          <w:sz w:val="20"/>
        </w:rPr>
      </w:pPr>
      <w:r>
        <w:rPr>
          <w:rFonts w:ascii="Times New Roman" w:hAnsi="Times New Roman"/>
          <w:sz w:val="20"/>
        </w:rPr>
        <w:t xml:space="preserve">(2) all such Securities of such series not theretofore delivered to the Trustee for cancellation (i) shall have become due and payable, or (ii) are by their terms to become due and payable within one year, or (iii) are to be called for redemption within one year under arrangements satisfactory to the Trustee for the giving of notice of redemption, and the Company in the case of (i), (ii) or (iii) above shall deposit or cause to be deposited with the Trustee as trust funds the entire amount (other than moneys repaid by the Trustee or any paying agent to the Company in accordance with Section 12.04) sufficient to pay at maturity or upon redemption all Securities of such series not therefore delivered to the Trustee for cancellation, including principal (and premium, if any) and any interest due or to become due to such date of maturity or date fixed for redemption,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paid or caused to be paid all other sums payable hereunder by the Company with respect to such Series, and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delivered to the Trustee an Officer’s Certificate and an Opinion of Counsel, each stating that all conditions precedent herein provided for relating to the satisfaction and discharge of this Indenture with respect to such Series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then this Indenture shall cease to be of further effect with respect to the Securities of such series (except as to any surviving rights of conversion, registration of transfer or exchange of any such Security expressly provided for herein or in the terms of such Security), and the Trustee, on demand of and at the cost and expense of the Company and subject to Section 15.05, shall execute proper instruments acknowledging satisfaction of and discharging this Indenture with respect to the Securities of such series. The Company agrees to reimburse the Trustee for any costs or expenses thereafter reasonably and properly incurred by the Trustee in connection with this Indenture or the Securities of such series. Notwithstanding the satisfaction and discharge of this Indenture with respect to the Securities of any series or of all series, the obligations of the Company to the Trustee under Section 7.06 shall survive.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12.02. Deposited Moneys to be Held in Trust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Sections 12.03 and 12.04, all moneys deposited with the Trustee pursuant to Section 12.01 shall be held in trust and applied by it to the payment, either directly or through any paying agent (including the Company acting as its own paying agent), to the persons entitled thereto, of all sums due and to become due thereon for principal and interest (and premium, if any) for which payment of such money has been deposited with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12.03. Paying Agent to Repay Moneys Held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satisfaction and discharge of this Indenture with respect to Securities of any series and the payment of all amounts due to the Trustee under Section 7.06, all moneys with respect to such Securities then held by any paying agent under the provisions of this Indenture shall, upon written demand of the Company, be repaid to it or paid to the Trustee and thereupon such paying agent shall be released from all further liability with respect to such moneys.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12.04. Return of Unclaimed Moneys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applicable law, any moneys deposited with or paid to the Trustee or any paying agent for the payment of the principal of (and premium, if any) or interest on any Security and not applied but remaining unclaimed for two years after the date upon which such principal (and premium, if any, on) or interest shall have become due and payable, shall be repaid to the Company by the Trustee or such paying agent upon written request from the Company, and the holder of such Security shall thereafter, as an unsecured general creditor, look only to the Company for any payment which such holder may be entitled to collect and all liability of the Trustee or any paying agent with respect to such moneys shall thereupon cease.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0" w:after="0"/>
        <w:jc w:val="center"/>
        <w:rPr>
          <w:rFonts w:ascii="Times New Roman" w:hAnsi="Times New Roman"/>
          <w:b/>
          <w:sz w:val="20"/>
        </w:rPr>
      </w:pPr>
      <w:r>
        <w:rPr>
          <w:rFonts w:ascii="Times New Roman" w:hAnsi="Times New Roman"/>
          <w:b/>
          <w:sz w:val="20"/>
        </w:rPr>
        <w:t xml:space="preserve">IMMUNITY OF INCORPORATORS, STOCKHOLDERS, OFFICERS AND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13.01. Indenture and Securities Solely Corporate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recourse for the payment of the principal of or interest on any Security, for any claim based thereon, or otherwise in respect thereof, shall be had against any incorporator, shareholder, officer, director, employee or agent, as such, past, present or future, of the Company or of any successor corporation, it being expressly understood that all such liability is hereby expressly waived and released as a condition of, and as a consideration for, the execution of this Indenture and the issue of any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14 </w:t>
      </w:r>
    </w:p>
    <w:p>
      <w:pPr>
        <w:pStyle w:val="TextBody"/>
        <w:bidi w:val="0"/>
        <w:spacing w:before="0" w:after="0"/>
        <w:jc w:val="center"/>
        <w:rPr>
          <w:rFonts w:ascii="Times New Roman" w:hAnsi="Times New Roman"/>
          <w:b/>
          <w:sz w:val="20"/>
        </w:rPr>
      </w:pPr>
      <w:r>
        <w:rPr>
          <w:rFonts w:ascii="Times New Roman" w:hAnsi="Times New Roman"/>
          <w:b/>
          <w:sz w:val="20"/>
        </w:rPr>
        <w:t xml:space="preserve">DEFEASANCE AND COVENANT DEFEASANCE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14.01. Applicability of Article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as specified pursuant to Section 2.03, provision is made that either or both of (a) defeasance of the Securities of a series under Section 14.02 and (b) covenant defeasance of the Securities of a series under Section 14.03 shall not apply to the Securities of a series, then the provisions of such Section 14.02 and Section 14.03, together with Section 14.04 and Section 14.05, shall be applicable to the Outstanding Securities of all series upon compliance with the conditions set forth below in this Article 14.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14.02. Defeasance and Discharge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14.05, the Company may cause itself to be discharged from its obligations with respect to the Outstanding Securities of any series on and after the date the conditions precedent set forth below are satisfied but subject to satisfaction of the conditions subsequent set forth below (hereinafter, “defeasance”). For this purpose, such defeasance means that the Company shall be deemed to have paid and discharged the entire indebtedness represented by the Outstanding Securities of such series and to have satisfied all its other obligations under such Securities and this Indenture insofar as such Securities are concerned (and the Trustee, at the expense of the Company, shall execute proper instruments acknowledging the same), except for the following which shall survive until otherwise terminated or discharged hereunder: (a) the rights of holders of Outstanding Securities of such series to receive, solely from the trust fund described in Section 14.04 and as more fully set forth in such Section, payments of the principal of and any premium and interest on such Securities when such payments are due, (b) the Company’s obligations with respect to such Securities under Section 2.07, Section 2.08, Section 2.09, Section 4.02 and Section 4.03 and such obligations as shall be ancillary thereto, (c) the rights, powers, trusts, duties, immunities and other provisions in respect of the Trustee hereunder, and the Company’s obligations with respect thereto, and (d) this Article 14. Subject to compliance with this Article 14, defeasance with respect to Securities of a series by the Company is permitted under this Section 14.02 notwithstanding the prior exercise of its rights under Section 14.03 with respect to the Securities of such series. Following a defeasance, payment of the Securities of such series may not be accelerated because of an Event of Default.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14.03. 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cause itself to be released from its obligations under any Sections applicable to Securities of a series that are determined pursuant to Section 2.03 to be subject to this provision with respect to the Outstanding Securities of such series on and after the date the conditions precedent set forth below are satisfied but subject to satisfaction of the conditions subsequent set forth below (hereinafter, “covenant defeasance”). For this purpose, such covenant defeasance means that, with respect to the Outstanding Securities of such series, the Company may omit to comply with and shall have no liability in respect of any term, condition or limitation set forth in any such Section,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14.04. Conditions to Defeasance or 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shall be the conditions precedent or, as specifically noted below, subsequent to application of either Section 14.02 or Section 14.03 to the Outstanding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irrevocably have deposited or caused to be deposited with the Trustee as trust funds in trust for the purpose of making the following payments, specifically pledged as security for, and dedicated solely to, the benefit of the holders of such Securities, (i) money in an amount, or (ii) U.S. Government Obligations which through the scheduled payment of principal and interest in respect thereof in accordance with their terms will provide, not later than one day before the due date of any payment, money in an amount, or (iii) a combination thereof, sufficient, without reinvestment, in the opinion of a nationally recognized firm of independent public accountants expressed in a written certification thereof delivered to the Trustee, to pay and discharge, and which shall be applied by the Trustee to pay and discharge, (1) the principal of and any premium and interest on the Outstanding Securities of such series to maturity or redemption, as the case may be, and (2) any mandatory sinking fund payments or analogous payments applicable to the Outstanding Securities of such series on the due dates thereof. Before such a deposit the Company may make arrangements satisfactory to the Trustee for the redemption of Securities at a future date or dates in accordance with Article 3 which shall be given effect in applying the foregoing. For this purpose, “U.S. Government Obligations” means securities that are (x) direct obligations of the United States of America for the payment of which its full faith and credit is pledged or (y) obligations of a person controlled or supervised by and acting as an agency or instrumentality of the United States of America the payment of which is unconditionally guaranteed as a full faith and credit obligation by the United States of America, which, in either case, are not callable or redeemable at the option of the issuer thereof, and shall also include a depository receipt issued by a bank (as defined in Section 3(a)(2) of the Securities Act) as custodian with respect to any such U.S. Government Obligation or a specific payment of principal of or interest on any such U.S. Government Obligation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principal of or interest on the U.S. Government Obligation evidenced by such depository receipt; </w:t>
      </w:r>
    </w:p>
    <w:p>
      <w:pPr>
        <w:pStyle w:val="TextBody"/>
        <w:bidi w:val="0"/>
        <w:spacing w:before="240" w:after="0"/>
        <w:jc w:val="left"/>
        <w:rPr>
          <w:rFonts w:ascii="Times New Roman" w:hAnsi="Times New Roman"/>
          <w:sz w:val="20"/>
        </w:rPr>
      </w:pPr>
      <w:r>
        <w:rPr>
          <w:rFonts w:ascii="Times New Roman" w:hAnsi="Times New Roman"/>
          <w:sz w:val="20"/>
        </w:rPr>
        <w:t xml:space="preserve">(b) No default, or event that after notice or lapse of time, or both, would become a default with respect to the Securities of such series, shall have happened and be continuing (i) on the date of such deposit or (ii) insofar as Section 6.01(d) and Section 6.01(e) are concerned, at any time during the period ending on the 123rd day after the date of such deposit or, if longer, ending on the day following the expiration of the longest preference period applicable to the Company in respect of such deposit (it being understood that the condition in this clause (b) is a condition subsequent and shall not be deemed satisfied until the expiration of such period); </w:t>
      </w:r>
    </w:p>
    <w:p>
      <w:pPr>
        <w:pStyle w:val="TextBody"/>
        <w:bidi w:val="0"/>
        <w:spacing w:before="240" w:after="0"/>
        <w:jc w:val="left"/>
        <w:rPr>
          <w:rFonts w:ascii="Times New Roman" w:hAnsi="Times New Roman"/>
          <w:sz w:val="20"/>
        </w:rPr>
      </w:pPr>
      <w:r>
        <w:rPr>
          <w:rFonts w:ascii="Times New Roman" w:hAnsi="Times New Roman"/>
          <w:sz w:val="20"/>
        </w:rPr>
        <w:t xml:space="preserve">(c) Such defeasance or covenant defeasance shall not (i) cause the Trustee for the Securities of such series to have a conflicting interest as defined in Section 7.08 or for purposes of the Trust Indenture Act with respect to any securities of the Company or (ii) result in the trust arising from such deposit to constitute, unless it is qualified as, a regulated investment company under the Investment Company Act of 1940,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Such defeasance or covenant defeasance shall not result in a breach or violation of, or constitute a default under, this Indenture or any other agreement or instrument to which the Company is a party or by which it is bound; </w:t>
      </w:r>
    </w:p>
    <w:p>
      <w:pPr>
        <w:pStyle w:val="TextBody"/>
        <w:bidi w:val="0"/>
        <w:spacing w:before="240" w:after="0"/>
        <w:jc w:val="left"/>
        <w:rPr>
          <w:rFonts w:ascii="Times New Roman" w:hAnsi="Times New Roman"/>
          <w:sz w:val="20"/>
        </w:rPr>
      </w:pPr>
      <w:r>
        <w:rPr>
          <w:rFonts w:ascii="Times New Roman" w:hAnsi="Times New Roman"/>
          <w:sz w:val="20"/>
        </w:rPr>
        <w:t xml:space="preserve">(e) Such defeasance or covenant defeasance shall not cause any Securities of such series then listed on any registered national securities exchange under the Exchange Act to be delisted; </w:t>
      </w:r>
    </w:p>
    <w:p>
      <w:pPr>
        <w:pStyle w:val="TextBody"/>
        <w:bidi w:val="0"/>
        <w:spacing w:before="240" w:after="0"/>
        <w:jc w:val="left"/>
        <w:rPr>
          <w:rFonts w:ascii="Times New Roman" w:hAnsi="Times New Roman"/>
          <w:sz w:val="20"/>
        </w:rPr>
      </w:pPr>
      <w:r>
        <w:rPr>
          <w:rFonts w:ascii="Times New Roman" w:hAnsi="Times New Roman"/>
          <w:sz w:val="20"/>
        </w:rPr>
        <w:t xml:space="preserve">(f) In the case of a defeasance under Section 14.02, the Company shall have delivered to the Trustee an Opinion of Counsel stating that (x) the Company has received from, or there has been published by, the Internal Revenue Service a ruling, or (y) since the date of this Indenture there has been a change in the applicable federal income tax law, in either case to the effect that, and based thereon such opinion shall confirm that, the holders of the Outstanding Securities of such series will not recognize income, gain or loss for federal income tax purposes as a result of such defeasance and will be subject to federal income tax on the same amounts, in the same manner and at the same times as would have been the case if such defeasance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(g) In the case of covenant defeasance under Section 14.03, the Company shall have delivered to the Trustee an Opinion of Counsel to the effect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(h) Such defeasance or covenant defeasance shall be effected in compliance with any additional terms, conditions or limitations which may be imposed on the Company in connection therewith pursuant to Section 2.03; and </w:t>
      </w:r>
    </w:p>
    <w:p>
      <w:pPr>
        <w:pStyle w:val="TextBody"/>
        <w:bidi w:val="0"/>
        <w:spacing w:before="240" w:after="0"/>
        <w:jc w:val="left"/>
        <w:rPr>
          <w:rFonts w:ascii="Times New Roman" w:hAnsi="Times New Roman"/>
          <w:sz w:val="20"/>
        </w:rPr>
      </w:pPr>
      <w:r>
        <w:rPr>
          <w:rFonts w:ascii="Times New Roman" w:hAnsi="Times New Roman"/>
          <w:sz w:val="20"/>
        </w:rPr>
        <w:t xml:space="preserve">(i) The Company shall have delivered to the Trustee an Officer’s Certificate and an Opinion of Counsel, each stating that all conditions precedent and subsequent provided for in this Indenture relating to either the defeasance under Section 14.02 or the covenant defeasance under Section 14.03, as the case may be, have been complied with.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14.05. Deposited Money and U.S. Government Obligations to be Held in Trust; Other 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money and U.S. Government Obligations (including the proceeds thereof) deposited with the Trustee pursuant to Section 14.04 in respect of the Outstanding Securities of such series shall be held in trust and applied by the Trustee, in accordance with the provisions of such Securities and this Indenture, to the payment, either directly or through any paying agent (but not including the Company acting as its own paying agent) as the Trustee may determine, to the holders of such Securities of all sums due and to become due thereon in respect of principal and any premium and interest, but such money need not be segregated from other funds except to the extent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shall pay and indemnify the Trustee against any tax, fee or other charge imposed on or assessed against the money or U.S. Government Obligations deposited pursuant to Section 14.04 or the principal and interest received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Anything herein to the contrary notwithstanding, the Trustee shall deliver or pay to the Company from time to time upon Company Request any money or U.S. Government Obligations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an equivalent defeasance or covenant defeasance, provided that the Trustee shall not be required to liquidate any U.S. Government Obligations in order to comply with the provisions of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Anything herein to the contrary notwithstanding, if and to the extent the deposited money or U.S. Government Obligations (or the proceeds thereof) either (i) cannot be applied by the Trustee in accordance with this Section because of a court order or by operation of Article 16 or (ii) are for any reason insufficient in amount, then the Company’s obligations to pay principal of and any premium and interest on the Securities of such series shall be reinstated to the extent necessary to cover the deficiency on any due date for payment. In any such case, the Company’s interest in the deposited money and U.S. Government Obligations (and proceeds thereof) shall be reinstated to the extent the Company’s payment obligations are reinstated.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15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15.01. Benefits of Indenture Restricted to Parties and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Indenture or in the Securities, expressed or implied, shall give or be construed to give to any person, firm or corporation, other than the parties hereto and their successors and assigns and the holders of the Securities (and, with respect to the provisions of Article 16, the holders of senior Indebtedness), any legal or equitable right, remedy or claim under this Indenture or under any covenant or provision herein contained, all such covenants and provisions being for the sole benefit of the parties hereto and their successors and assigns and the holders of the Securities (and, with respect to the provisions of Article 16, the holders of senior Indebtedness).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15.02. Provisions Binding on Company</w:t>
      </w:r>
      <w:r>
        <w:rPr>
          <w:rFonts w:ascii="Times New Roman" w:hAnsi="Times New Roman"/>
          <w:sz w:val="20"/>
        </w:rPr>
        <w:t>’</w:t>
      </w:r>
      <w:r>
        <w:rPr>
          <w:rFonts w:ascii="Times New Roman" w:hAnsi="Times New Roman"/>
          <w:b/>
          <w:sz w:val="20"/>
        </w:rPr>
        <w:t>s Successors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the covenants, stipulations, promises and agreements in this Indenture contained by or in behalf of the Company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15.03. Addresses for Notices, etc., to Company and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request, demand, authorization, direction, notice, consent, waiver or other document provided or permitted by this Indenture is duly given if in writing and delivered in person or delivered by first-class postage prepaid mail, facsimile, email or overnight air courier guaranteeing next day delivery, to the other’s address: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If to the Trustee, addressed to the Trustee at the principal Corporate Trust Office of the Trustee, [], Attention [], Phone: [], Email: []. </w:t>
      </w:r>
    </w:p>
    <w:p>
      <w:pPr>
        <w:pStyle w:val="TextBody"/>
        <w:bidi w:val="0"/>
        <w:spacing w:before="240" w:after="0"/>
        <w:jc w:val="left"/>
        <w:rPr>
          <w:rFonts w:ascii="Times New Roman" w:hAnsi="Times New Roman"/>
          <w:sz w:val="20"/>
        </w:rPr>
      </w:pPr>
      <w:r>
        <w:rPr>
          <w:rFonts w:ascii="Times New Roman" w:hAnsi="Times New Roman"/>
          <w:sz w:val="20"/>
        </w:rPr>
        <w:t xml:space="preserve">(2) If to the Company by the Trustee or by the holders of Securities, addressed to it at 200 East Jackson Street, Muncie, Indiana 47305-2814, Attention: Brian T. Hunt, Esq., Email: </w:t>
      </w:r>
      <w:r>
        <w:rPr>
          <w:rFonts w:ascii="Times New Roman" w:hAnsi="Times New Roman"/>
          <w:sz w:val="20"/>
          <w:u w:val="single"/>
        </w:rPr>
        <w:t>bhunt@firstmerchants.com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the Trustee by written notice to the other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All notices and communications will be deemed to have been duly given: five Business Days after being deposited in the mail, postage prepaid, if delivered by mail; on the first Business Day after being sent, if sent by facsimile and the sender receives confirmation of successful transmission; upon confirmation of transmittal (but excluding any automatic reply to such email), if sent by email; and the next Business Day after timely delivery to the courier, if sent by overnight air courier guaranteeing next day delivery.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15.04. Notice to Holders of Securities;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expressly provided herein, where this Indenture provides for notice of holders of Securities of any event, such notice shall be sufficiently given to holders of Registered Securities if in writing and mailed, first-class postage prepaid, to each holder of a Registered Security affected by such event, at the address of such holder as it appears in the Security Register, not earlier than the earliest date, and not later than the latest date, prescribed for the giving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In case by reason of the suspension of regular mail service or by reason of any other cause it shall be impracticable to give such notice to holders of Registered Securities by mail, then such notification as shall be made with the approval of the Trustee shall constitute sufficient notice to such holders for every purpose hereunder. In any case where notice to holders of Registered Securities is given by mail, neither the failure to mail such notice, nor any defect in any notice so mailed, to any particular holder of a Registered Security shall affect the sufficiency of such notice with respect to other holders of Registered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or any Security, where this Indenture or any Security provides for notice of any event (including any notice of redemption) to a Holder of a global Security (whether by mail or otherwise), such notice shall be sufficiently given when delivered to the Depositary for such Security (or its designee) pursuant to the customary procedures of such Depositary. </w:t>
      </w:r>
    </w:p>
    <w:p>
      <w:pPr>
        <w:pStyle w:val="TextBody"/>
        <w:bidi w:val="0"/>
        <w:spacing w:before="240" w:after="0"/>
        <w:jc w:val="left"/>
        <w:rPr>
          <w:rFonts w:ascii="Times New Roman" w:hAnsi="Times New Roman"/>
          <w:sz w:val="20"/>
        </w:rPr>
      </w:pPr>
      <w:r>
        <w:rPr>
          <w:rFonts w:ascii="Times New Roman" w:hAnsi="Times New Roman"/>
          <w:sz w:val="20"/>
        </w:rPr>
        <w:t xml:space="preserve">Where this Indenture provides for notice in any manner, such notice may be waived in writing by the person entitled to receive such notice, either before or after the event, and such waiver shall be the equivalent of such notice. Waivers of notice by holders of Securities shall be filed with the Trustee, but such filing shall not be a condition precedent to the validity of any action taken in reliance upon such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request, demand, authorization, direction, notice, consent or waiver required or permitted under this Indenture shall be in the English language.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15.05. Evidence of Compliance with Conditions Precedent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application or demand by the Company to the Trustee to take any action under any of the provisions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 </w:t>
      </w:r>
    </w:p>
    <w:p>
      <w:pPr>
        <w:pStyle w:val="TextBody"/>
        <w:bidi w:val="0"/>
        <w:spacing w:before="240" w:after="0"/>
        <w:jc w:val="left"/>
        <w:rPr>
          <w:rFonts w:ascii="Times New Roman" w:hAnsi="Times New Roman"/>
          <w:sz w:val="20"/>
        </w:rPr>
      </w:pPr>
      <w:r>
        <w:rPr>
          <w:rFonts w:ascii="Times New Roman" w:hAnsi="Times New Roman"/>
          <w:sz w:val="20"/>
        </w:rPr>
        <w:t xml:space="preserve">Each Officer’s Certificate and Opinion of Counsel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15.06. Legal Holidays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any case where the date of maturity of interest on or principal of the Securities or the date fixed for redemption of any Securities shall not be a Business Day in the city of New York, New York or in such other Place of Payment as the Company may designate pursuant to Section 4.02, then payment of interest or principal (and premium, if any) need not be made on such date but may be made on the next succeeding Business Day with the same force and effect as if made on the date of maturity or the date fixed for redemption, and no interest shall accrue for the period after such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15.07. Trust Indenture Act to Control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that any provision of this Indenture limits, qualifies or conflicts with another provision which is required or deemed to be included in this Indenture by any of Sections 310 to 317, inclusive, of the Trust Indenture Act, such required or deemed provision shall control. If any provision of this Indenture modifies or excludes any provision of the Trust Indenture Act which may be so modified or excluded, the latter provision shall be deemed to apply to this Indenture as so modified or to be excluded, as the case may be.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15.08. Execution in 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be executed in any number of counterparts, each of which shall be an original; but such counterparts shall together constitute but one and the same instrument.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exchange of copies of this Indenture and of signature pages by facsimile or electronic format (</w:t>
      </w:r>
      <w:r>
        <w:rPr>
          <w:rFonts w:ascii="Times New Roman" w:hAnsi="Times New Roman"/>
          <w:i/>
          <w:sz w:val="20"/>
        </w:rPr>
        <w:t>e.g</w:t>
      </w:r>
      <w:r>
        <w:rPr>
          <w:rFonts w:ascii="Times New Roman" w:hAnsi="Times New Roman"/>
          <w:sz w:val="20"/>
        </w:rPr>
        <w:t xml:space="preserve">., “.pdf” or “.tif”) transmission will constitute effective execution and delivery of this Indenture as to the parties hereto and may be used in lieu of the original Indenture for all purposes. Signatures of the parties hereto transmitted by facsimile or electronic format (e.g., “.pdf” or “.tif”) will be deemed to be their original signatures for all purposes. Unless otherwise provided herein or in any other Securities, the words “execute”, “execution”, “signed”, and “signature” and words of similar import used in or related to any document to be signed in connection with this Indenture, any other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under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such Trustee pursuant to procedures approved by such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15.09. Governing Law;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AND EACH SECURITY SHALL BE DEEMED TO BE A CONTRACT MADE UNDER THE LAWS OF THE STATE OF NEW YORK, AND FOR ALL PURPOSES SHALL BE GOVERNED BY AND CONSTRUED IN ACCORDANCE WITH THE LAW OF THE STATE OF NEW YORK BUT WITHOUT GIVING EFFECT TO APPLICABLE PRINCIPLES OF CONFLICTS OF LAW TO THE EXTENT THE APPLICATION OF THE LAWS OF ANOTHER JURISDICTION WOULD BE REQUIRED THEREBY (OTHER THAN SECTIONS 5-1401 AND 5-1402 OF THE NEW YORK GENERAL OBLIGATIONS LAW). EACH OF THE COMPANY AND THE TRUSTEE HEREBY IRREVOCABLY WAIVES, TO THE FULLEST EXTENT PERMITTED BY APPLICABLE LAW, ANY AND ALL RIGHT TO TRIAL BY JURY IN ANY LEGAL PROCEEDING ARISING OUT OF OR RELATING TO THIS INDENTURE, THE SECURITIES OR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hereby (i) irrevocably submit to the non-exclusive jurisdiction of any federal or state court sitting in the Borough of Manhattan, the City of New York, (ii) waive any objection to laying of venue in any such action or proceeding in such courts, and (iii) waive any objection that such courts are an inconvenient forum or do not have jurisdiction over any party, in each, case, in any legal proceeding arising out of or related to this Indenture, the Securities or the transactions contemplated hereby or thereby.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15.10. Severability; Entire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provision in this Indenture or in the Securities shall be invalid, illegal or unenforceable, the validity, legality and enforceability of the remaining provisions shall not in any way be affected or impaired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by its execution of this Indenture, hereby accepts the trusts in this Indenture declared and provided, upon the terms and conditions hereinabove set forth. This Indenture, any supplemental indenture hereto and the exhibits hereto or thereto set forth the entire agreement and understanding of the parties related to this transaction and supersedes all prior agreements and understandings, oral or written.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15.11. Interpretations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not be used to interpret any other indenture, loan or debt agreement of the Company or its Subsidiaries or of any other Person. Any such indenture, loan or debt agreement may not be used to interpret this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15.12. U.S.A. Patriot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Title III of the Uniting and Strengthening America by Providing Appropriate Tools Required to Intercept and Obstruct Terrorism Act of 2001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16 </w:t>
      </w:r>
    </w:p>
    <w:p>
      <w:pPr>
        <w:pStyle w:val="TextBody"/>
        <w:bidi w:val="0"/>
        <w:spacing w:before="0" w:after="0"/>
        <w:jc w:val="center"/>
        <w:rPr>
          <w:rFonts w:ascii="Times New Roman" w:hAnsi="Times New Roman"/>
          <w:b/>
          <w:sz w:val="20"/>
        </w:rPr>
      </w:pPr>
      <w:r>
        <w:rPr>
          <w:rFonts w:ascii="Times New Roman" w:hAnsi="Times New Roman"/>
          <w:b/>
          <w:sz w:val="20"/>
        </w:rPr>
        <w:t xml:space="preserve">RANKING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16.01. Ranking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a supplemental indenture or pursuant to Section 2.01, the Company agrees, and each holder by accepting a Security agrees, that the indebtedness evidenced by the Securities constitutes and will constitute a senior unsecured general obligation of the Company, ranking equally with other existing and future senior unsecured Indebtedness of the Company, and ranking senior in right of payment to any existing or future Indebtedness of the Company that is expressly made subordinate to the Securities by the terms of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03"/>
        <w:gridCol w:w="108"/>
        <w:gridCol w:w="3371"/>
      </w:tblGrid>
      <w:tr>
        <w:trPr/>
        <w:tc>
          <w:tcPr>
            <w:tcW w:w="60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37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FIRST MERCHANTS CORPORATION</w:t>
            </w:r>
          </w:p>
        </w:tc>
      </w:tr>
      <w:tr>
        <w:trPr>
          <w:trHeight w:val="240" w:hRule="atLeast"/>
        </w:trPr>
        <w:tc>
          <w:tcPr>
            <w:tcW w:w="603" w:type="dxa"/>
            <w:tcBorders/>
            <w:vAlign w:val="center"/>
          </w:tcPr>
          <w:p>
            <w:pPr>
              <w:pStyle w:val="TableContents"/>
              <w:bidi w:val="0"/>
              <w:spacing w:before="0" w:after="283"/>
              <w:jc w:val="left"/>
              <w:rPr>
                <w:sz w:val="4"/>
                <w:szCs w:val="4"/>
              </w:rPr>
            </w:pPr>
            <w:r>
              <w:rPr>
                <w:sz w:val="4"/>
                <w:szCs w:val="4"/>
              </w:rPr>
            </w:r>
          </w:p>
        </w:tc>
        <w:tc>
          <w:tcPr>
            <w:tcW w:w="3479" w:type="dxa"/>
            <w:gridSpan w:val="2"/>
            <w:tcBorders/>
            <w:vAlign w:val="center"/>
          </w:tcPr>
          <w:p>
            <w:pPr>
              <w:pStyle w:val="TableContents"/>
              <w:bidi w:val="0"/>
              <w:spacing w:before="0" w:after="283"/>
              <w:jc w:val="left"/>
              <w:rPr>
                <w:sz w:val="4"/>
                <w:szCs w:val="4"/>
              </w:rPr>
            </w:pPr>
            <w:r>
              <w:rPr>
                <w:sz w:val="4"/>
                <w:szCs w:val="4"/>
              </w:rPr>
            </w:r>
          </w:p>
        </w:tc>
      </w:tr>
      <w:tr>
        <w:trPr/>
        <w:tc>
          <w:tcPr>
            <w:tcW w:w="603" w:type="dxa"/>
            <w:tcBorders/>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3371" w:type="dxa"/>
            <w:tcBorders>
              <w:bottom w:val="single" w:sz="2" w:space="0" w:color="000000"/>
            </w:tcBorders>
            <w:tcMar>
              <w:bottom w:w="28" w:type="dxa"/>
            </w:tcMar>
          </w:tcPr>
          <w:p>
            <w:pPr>
              <w:pStyle w:val="TableContents"/>
              <w:bidi w:val="0"/>
              <w:spacing w:before="0" w:after="283"/>
              <w:jc w:val="left"/>
              <w:rPr/>
            </w:pPr>
            <w:r>
              <w:rPr/>
              <w:t> </w:t>
            </w:r>
          </w:p>
        </w:tc>
      </w:tr>
      <w:tr>
        <w:trPr/>
        <w:tc>
          <w:tcPr>
            <w:tcW w:w="60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371" w:type="dxa"/>
            <w:tcBorders/>
            <w:vAlign w:val="bottom"/>
          </w:tcPr>
          <w:p>
            <w:pPr>
              <w:pStyle w:val="TableContents"/>
              <w:bidi w:val="0"/>
              <w:spacing w:before="0" w:after="283"/>
              <w:jc w:val="left"/>
              <w:rPr/>
            </w:pPr>
            <w:r>
              <w:rPr/>
              <w:t>[Name]</w:t>
            </w:r>
          </w:p>
        </w:tc>
      </w:tr>
      <w:tr>
        <w:trPr/>
        <w:tc>
          <w:tcPr>
            <w:tcW w:w="60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371" w:type="dxa"/>
            <w:tcBorders/>
            <w:vAlign w:val="bottom"/>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 as Trustee</w:t>
            </w:r>
          </w:p>
        </w:tc>
      </w:tr>
      <w:tr>
        <w:trPr>
          <w:trHeight w:val="240" w:hRule="atLeast"/>
        </w:trPr>
        <w:tc>
          <w:tcPr>
            <w:tcW w:w="603" w:type="dxa"/>
            <w:tcBorders/>
            <w:vAlign w:val="center"/>
          </w:tcPr>
          <w:p>
            <w:pPr>
              <w:pStyle w:val="TableContents"/>
              <w:bidi w:val="0"/>
              <w:spacing w:before="0" w:after="283"/>
              <w:jc w:val="left"/>
              <w:rPr>
                <w:sz w:val="4"/>
                <w:szCs w:val="4"/>
              </w:rPr>
            </w:pPr>
            <w:r>
              <w:rPr>
                <w:sz w:val="4"/>
                <w:szCs w:val="4"/>
              </w:rPr>
            </w:r>
          </w:p>
        </w:tc>
        <w:tc>
          <w:tcPr>
            <w:tcW w:w="3479" w:type="dxa"/>
            <w:gridSpan w:val="2"/>
            <w:tcBorders/>
            <w:vAlign w:val="center"/>
          </w:tcPr>
          <w:p>
            <w:pPr>
              <w:pStyle w:val="TableContents"/>
              <w:bidi w:val="0"/>
              <w:spacing w:before="0" w:after="283"/>
              <w:jc w:val="left"/>
              <w:rPr>
                <w:sz w:val="4"/>
                <w:szCs w:val="4"/>
              </w:rPr>
            </w:pPr>
            <w:r>
              <w:rPr>
                <w:sz w:val="4"/>
                <w:szCs w:val="4"/>
              </w:rPr>
            </w:r>
          </w:p>
        </w:tc>
      </w:tr>
      <w:tr>
        <w:trPr/>
        <w:tc>
          <w:tcPr>
            <w:tcW w:w="603" w:type="dxa"/>
            <w:tcBorders/>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3371" w:type="dxa"/>
            <w:tcBorders>
              <w:bottom w:val="single" w:sz="2" w:space="0" w:color="000000"/>
            </w:tcBorders>
            <w:tcMar>
              <w:bottom w:w="28" w:type="dxa"/>
            </w:tcMar>
          </w:tcPr>
          <w:p>
            <w:pPr>
              <w:pStyle w:val="TableContents"/>
              <w:bidi w:val="0"/>
              <w:spacing w:before="0" w:after="283"/>
              <w:jc w:val="left"/>
              <w:rPr/>
            </w:pPr>
            <w:r>
              <w:rPr/>
              <w:t> </w:t>
            </w:r>
          </w:p>
        </w:tc>
      </w:tr>
      <w:tr>
        <w:trPr/>
        <w:tc>
          <w:tcPr>
            <w:tcW w:w="60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371" w:type="dxa"/>
            <w:tcBorders/>
            <w:vAlign w:val="bottom"/>
          </w:tcPr>
          <w:p>
            <w:pPr>
              <w:pStyle w:val="TableContents"/>
              <w:bidi w:val="0"/>
              <w:spacing w:before="0" w:after="283"/>
              <w:jc w:val="left"/>
              <w:rPr/>
            </w:pPr>
            <w:r>
              <w:rPr/>
              <w:t>[Name]</w:t>
            </w:r>
          </w:p>
        </w:tc>
      </w:tr>
      <w:tr>
        <w:trPr/>
        <w:tc>
          <w:tcPr>
            <w:tcW w:w="60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371"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p>
    <w:p>
      <w:pPr>
        <w:pStyle w:val="TextBody"/>
        <w:bidi w:val="0"/>
        <w:spacing w:before="0" w:after="0"/>
        <w:jc w:val="right"/>
        <w:rPr>
          <w:rFonts w:ascii="Times New Roman" w:hAnsi="Times New Roman"/>
          <w:b/>
          <w:sz w:val="20"/>
        </w:rPr>
      </w:pPr>
      <w:bookmarkStart w:id="23" w:name="d175664dex47.htm"/>
      <w:bookmarkStart w:id="24" w:name="ksd175664dex47"/>
      <w:bookmarkEnd w:id="23"/>
      <w:bookmarkEnd w:id="24"/>
      <w:r>
        <w:rPr>
          <w:rFonts w:ascii="Times New Roman" w:hAnsi="Times New Roman"/>
          <w:b/>
          <w:sz w:val="20"/>
        </w:rPr>
        <w:t xml:space="preserve">Exhibit 4.7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FIRST MERCHANTS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AS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AS 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 </w:t>
      </w:r>
    </w:p>
    <w:p>
      <w:pPr>
        <w:pStyle w:val="TextBody"/>
        <w:bidi w:val="0"/>
        <w:spacing w:before="240" w:after="0"/>
        <w:jc w:val="center"/>
        <w:rPr>
          <w:rFonts w:ascii="Times New Roman" w:hAnsi="Times New Roman"/>
          <w:b/>
          <w:sz w:val="20"/>
        </w:rPr>
      </w:pPr>
      <w:r>
        <w:rPr>
          <w:rFonts w:ascii="Times New Roman" w:hAnsi="Times New Roman"/>
          <w:b/>
          <w:sz w:val="20"/>
        </w:rPr>
        <w:t xml:space="preserve">SUBORDINATED DEBT SECURITIES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CROSS-REFERENCE TABLE </w:t>
      </w:r>
    </w:p>
    <w:p>
      <w:pPr>
        <w:pStyle w:val="TextBody"/>
        <w:bidi w:val="0"/>
        <w:spacing w:before="240" w:after="0"/>
        <w:jc w:val="left"/>
        <w:rPr>
          <w:rFonts w:ascii="Times New Roman" w:hAnsi="Times New Roman"/>
          <w:sz w:val="20"/>
        </w:rPr>
      </w:pPr>
      <w:r>
        <w:rPr>
          <w:rFonts w:ascii="Times New Roman" w:hAnsi="Times New Roman"/>
          <w:sz w:val="20"/>
        </w:rPr>
        <w:t xml:space="preserve">Reconciliation and tie between the Trust Indenture Act of 1939, as amended (the “Trust Indenture Act”), and the Indenture dated as of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4"/>
        <w:gridCol w:w="120"/>
        <w:gridCol w:w="4901"/>
      </w:tblGrid>
      <w:tr>
        <w:trPr/>
        <w:tc>
          <w:tcPr>
            <w:tcW w:w="518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01" w:type="dxa"/>
            <w:tcBorders/>
            <w:vAlign w:val="center"/>
          </w:tcPr>
          <w:p>
            <w:pPr>
              <w:pStyle w:val="TableContents"/>
              <w:bidi w:val="0"/>
              <w:spacing w:before="0" w:after="283"/>
              <w:jc w:val="left"/>
              <w:rPr>
                <w:sz w:val="4"/>
                <w:szCs w:val="4"/>
              </w:rPr>
            </w:pPr>
            <w:r>
              <w:rPr>
                <w:sz w:val="4"/>
                <w:szCs w:val="4"/>
              </w:rPr>
            </w:r>
          </w:p>
        </w:tc>
      </w:tr>
      <w:tr>
        <w:trPr/>
        <w:tc>
          <w:tcPr>
            <w:tcW w:w="5184" w:type="dxa"/>
            <w:tcBorders/>
            <w:vAlign w:val="bottom"/>
          </w:tcPr>
          <w:p>
            <w:pPr>
              <w:pStyle w:val="TableContents"/>
              <w:bidi w:val="0"/>
              <w:spacing w:before="0" w:after="283"/>
              <w:jc w:val="center"/>
              <w:rPr>
                <w:b/>
              </w:rPr>
            </w:pPr>
            <w:r>
              <w:rPr>
                <w:b/>
              </w:rPr>
              <w:t>SECTION OF TRUST INDENTURE ACT</w:t>
            </w:r>
          </w:p>
        </w:tc>
        <w:tc>
          <w:tcPr>
            <w:tcW w:w="120" w:type="dxa"/>
            <w:tcBorders/>
            <w:vAlign w:val="bottom"/>
          </w:tcPr>
          <w:p>
            <w:pPr>
              <w:pStyle w:val="TableContents"/>
              <w:bidi w:val="0"/>
              <w:spacing w:before="0" w:after="283"/>
              <w:jc w:val="left"/>
              <w:rPr/>
            </w:pPr>
            <w:r>
              <w:rPr/>
              <w:t>  </w:t>
            </w:r>
          </w:p>
        </w:tc>
        <w:tc>
          <w:tcPr>
            <w:tcW w:w="4901" w:type="dxa"/>
            <w:tcBorders/>
            <w:vAlign w:val="bottom"/>
          </w:tcPr>
          <w:p>
            <w:pPr>
              <w:pStyle w:val="TableContents"/>
              <w:bidi w:val="0"/>
              <w:spacing w:before="0" w:after="283"/>
              <w:jc w:val="center"/>
              <w:rPr>
                <w:b/>
              </w:rPr>
            </w:pPr>
            <w:r>
              <w:rPr>
                <w:b/>
              </w:rPr>
              <w:t>SECTION OF INDENTURE</w:t>
            </w:r>
          </w:p>
        </w:tc>
      </w:tr>
      <w:tr>
        <w:trPr/>
        <w:tc>
          <w:tcPr>
            <w:tcW w:w="5184" w:type="dxa"/>
            <w:tcBorders/>
          </w:tcPr>
          <w:p>
            <w:pPr>
              <w:pStyle w:val="TableContents"/>
              <w:bidi w:val="0"/>
              <w:spacing w:before="0" w:after="283"/>
              <w:jc w:val="center"/>
              <w:rPr/>
            </w:pPr>
            <w:r>
              <w:rPr/>
              <w:t>310(a)(1) and (2)</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7.09</w:t>
            </w:r>
          </w:p>
        </w:tc>
      </w:tr>
      <w:tr>
        <w:trPr/>
        <w:tc>
          <w:tcPr>
            <w:tcW w:w="5184" w:type="dxa"/>
            <w:tcBorders/>
          </w:tcPr>
          <w:p>
            <w:pPr>
              <w:pStyle w:val="TableContents"/>
              <w:bidi w:val="0"/>
              <w:spacing w:before="0" w:after="283"/>
              <w:jc w:val="center"/>
              <w:rPr/>
            </w:pPr>
            <w:r>
              <w:rPr/>
              <w:t>310(a)(3) and (4)</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Not applicable</w:t>
            </w:r>
          </w:p>
        </w:tc>
      </w:tr>
      <w:tr>
        <w:trPr/>
        <w:tc>
          <w:tcPr>
            <w:tcW w:w="5184" w:type="dxa"/>
            <w:tcBorders/>
          </w:tcPr>
          <w:p>
            <w:pPr>
              <w:pStyle w:val="TableContents"/>
              <w:bidi w:val="0"/>
              <w:spacing w:before="0" w:after="283"/>
              <w:jc w:val="center"/>
              <w:rPr/>
            </w:pPr>
            <w:r>
              <w:rPr/>
              <w:t>310(a)(5)</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7.09</w:t>
            </w:r>
          </w:p>
        </w:tc>
      </w:tr>
      <w:tr>
        <w:trPr/>
        <w:tc>
          <w:tcPr>
            <w:tcW w:w="5184" w:type="dxa"/>
            <w:tcBorders/>
          </w:tcPr>
          <w:p>
            <w:pPr>
              <w:pStyle w:val="TableContents"/>
              <w:bidi w:val="0"/>
              <w:spacing w:before="0" w:after="0"/>
              <w:jc w:val="center"/>
              <w:rPr>
                <w:rFonts w:ascii="Times New Roman" w:hAnsi="Times New Roman"/>
                <w:sz w:val="20"/>
              </w:rPr>
            </w:pPr>
            <w:r>
              <w:rPr>
                <w:rFonts w:ascii="Times New Roman" w:hAnsi="Times New Roman"/>
                <w:sz w:val="20"/>
              </w:rPr>
              <w:t>310(b)</w:t>
            </w:r>
          </w:p>
          <w:p>
            <w:pPr>
              <w:pStyle w:val="TableContents"/>
              <w:bidi w:val="0"/>
              <w:spacing w:before="0" w:after="20"/>
              <w:jc w:val="center"/>
              <w:rPr>
                <w:rFonts w:ascii="Times New Roman" w:hAnsi="Times New Roman"/>
                <w:sz w:val="20"/>
              </w:rPr>
            </w:pPr>
            <w:r>
              <w:rPr>
                <w:rFonts w:ascii="Times New Roman" w:hAnsi="Times New Roman"/>
                <w:sz w:val="20"/>
              </w:rPr>
              <w:t>310(c)</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0"/>
              <w:jc w:val="center"/>
              <w:rPr>
                <w:rFonts w:ascii="Times New Roman" w:hAnsi="Times New Roman"/>
                <w:sz w:val="20"/>
              </w:rPr>
            </w:pPr>
            <w:r>
              <w:rPr>
                <w:rFonts w:ascii="Times New Roman" w:hAnsi="Times New Roman"/>
                <w:sz w:val="20"/>
              </w:rPr>
              <w:t>7.08 and 7.10</w:t>
            </w:r>
          </w:p>
          <w:p>
            <w:pPr>
              <w:pStyle w:val="TableContents"/>
              <w:bidi w:val="0"/>
              <w:spacing w:before="0" w:after="20"/>
              <w:jc w:val="center"/>
              <w:rPr>
                <w:rFonts w:ascii="Times New Roman" w:hAnsi="Times New Roman"/>
                <w:sz w:val="20"/>
              </w:rPr>
            </w:pPr>
            <w:r>
              <w:rPr>
                <w:rFonts w:ascii="Times New Roman" w:hAnsi="Times New Roman"/>
                <w:sz w:val="20"/>
              </w:rPr>
              <w:t>Not applicable</w:t>
            </w:r>
          </w:p>
        </w:tc>
      </w:tr>
      <w:tr>
        <w:trPr/>
        <w:tc>
          <w:tcPr>
            <w:tcW w:w="5184" w:type="dxa"/>
            <w:tcBorders/>
          </w:tcPr>
          <w:p>
            <w:pPr>
              <w:pStyle w:val="TableContents"/>
              <w:bidi w:val="0"/>
              <w:spacing w:before="0" w:after="0"/>
              <w:jc w:val="center"/>
              <w:rPr>
                <w:rFonts w:ascii="Times New Roman" w:hAnsi="Times New Roman"/>
                <w:sz w:val="20"/>
              </w:rPr>
            </w:pPr>
            <w:r>
              <w:rPr>
                <w:rFonts w:ascii="Times New Roman" w:hAnsi="Times New Roman"/>
                <w:sz w:val="20"/>
              </w:rPr>
              <w:t>311(a) and (b)</w:t>
            </w:r>
          </w:p>
          <w:p>
            <w:pPr>
              <w:pStyle w:val="TableContents"/>
              <w:bidi w:val="0"/>
              <w:spacing w:before="0" w:after="20"/>
              <w:jc w:val="center"/>
              <w:rPr>
                <w:rFonts w:ascii="Times New Roman" w:hAnsi="Times New Roman"/>
                <w:sz w:val="20"/>
              </w:rPr>
            </w:pPr>
            <w:r>
              <w:rPr>
                <w:rFonts w:ascii="Times New Roman" w:hAnsi="Times New Roman"/>
                <w:sz w:val="20"/>
              </w:rPr>
              <w:t>311(c)</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0"/>
              <w:jc w:val="center"/>
              <w:rPr>
                <w:rFonts w:ascii="Times New Roman" w:hAnsi="Times New Roman"/>
                <w:sz w:val="20"/>
              </w:rPr>
            </w:pPr>
            <w:r>
              <w:rPr>
                <w:rFonts w:ascii="Times New Roman" w:hAnsi="Times New Roman"/>
                <w:sz w:val="20"/>
              </w:rPr>
              <w:t>7.13</w:t>
            </w:r>
          </w:p>
          <w:p>
            <w:pPr>
              <w:pStyle w:val="TableContents"/>
              <w:bidi w:val="0"/>
              <w:spacing w:before="0" w:after="20"/>
              <w:jc w:val="center"/>
              <w:rPr>
                <w:rFonts w:ascii="Times New Roman" w:hAnsi="Times New Roman"/>
                <w:sz w:val="20"/>
              </w:rPr>
            </w:pPr>
            <w:r>
              <w:rPr>
                <w:rFonts w:ascii="Times New Roman" w:hAnsi="Times New Roman"/>
                <w:sz w:val="20"/>
              </w:rPr>
              <w:t>Not applicable</w:t>
            </w:r>
          </w:p>
        </w:tc>
      </w:tr>
      <w:tr>
        <w:trPr/>
        <w:tc>
          <w:tcPr>
            <w:tcW w:w="5184" w:type="dxa"/>
            <w:tcBorders/>
          </w:tcPr>
          <w:p>
            <w:pPr>
              <w:pStyle w:val="TableContents"/>
              <w:bidi w:val="0"/>
              <w:spacing w:before="0" w:after="283"/>
              <w:jc w:val="center"/>
              <w:rPr/>
            </w:pPr>
            <w:r>
              <w:rPr/>
              <w:t>312(a)</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5.01 and 5.02(a)</w:t>
            </w:r>
          </w:p>
        </w:tc>
      </w:tr>
      <w:tr>
        <w:trPr/>
        <w:tc>
          <w:tcPr>
            <w:tcW w:w="5184" w:type="dxa"/>
            <w:tcBorders/>
          </w:tcPr>
          <w:p>
            <w:pPr>
              <w:pStyle w:val="TableContents"/>
              <w:bidi w:val="0"/>
              <w:spacing w:before="0" w:after="283"/>
              <w:jc w:val="center"/>
              <w:rPr/>
            </w:pPr>
            <w:r>
              <w:rPr/>
              <w:t>312(b) and (c)</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5.02(b)</w:t>
            </w:r>
          </w:p>
        </w:tc>
      </w:tr>
      <w:tr>
        <w:trPr/>
        <w:tc>
          <w:tcPr>
            <w:tcW w:w="5184" w:type="dxa"/>
            <w:tcBorders/>
          </w:tcPr>
          <w:p>
            <w:pPr>
              <w:pStyle w:val="TableContents"/>
              <w:bidi w:val="0"/>
              <w:spacing w:before="0" w:after="283"/>
              <w:jc w:val="center"/>
              <w:rPr/>
            </w:pPr>
            <w:r>
              <w:rPr/>
              <w:t>313(a)</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5.04</w:t>
            </w:r>
          </w:p>
        </w:tc>
      </w:tr>
      <w:tr>
        <w:trPr/>
        <w:tc>
          <w:tcPr>
            <w:tcW w:w="5184" w:type="dxa"/>
            <w:tcBorders/>
          </w:tcPr>
          <w:p>
            <w:pPr>
              <w:pStyle w:val="TableContents"/>
              <w:bidi w:val="0"/>
              <w:spacing w:before="0" w:after="283"/>
              <w:jc w:val="center"/>
              <w:rPr/>
            </w:pPr>
            <w:r>
              <w:rPr/>
              <w:t>313(b)(1)</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Not applicable</w:t>
            </w:r>
          </w:p>
        </w:tc>
      </w:tr>
      <w:tr>
        <w:trPr/>
        <w:tc>
          <w:tcPr>
            <w:tcW w:w="5184" w:type="dxa"/>
            <w:tcBorders/>
          </w:tcPr>
          <w:p>
            <w:pPr>
              <w:pStyle w:val="TableContents"/>
              <w:bidi w:val="0"/>
              <w:spacing w:before="0" w:after="283"/>
              <w:jc w:val="center"/>
              <w:rPr/>
            </w:pPr>
            <w:r>
              <w:rPr/>
              <w:t>313(b)(2)</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5.04</w:t>
            </w:r>
          </w:p>
        </w:tc>
      </w:tr>
      <w:tr>
        <w:trPr/>
        <w:tc>
          <w:tcPr>
            <w:tcW w:w="5184" w:type="dxa"/>
            <w:tcBorders/>
          </w:tcPr>
          <w:p>
            <w:pPr>
              <w:pStyle w:val="TableContents"/>
              <w:bidi w:val="0"/>
              <w:spacing w:before="0" w:after="283"/>
              <w:jc w:val="center"/>
              <w:rPr/>
            </w:pPr>
            <w:r>
              <w:rPr/>
              <w:t>313(c)</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5.04</w:t>
            </w:r>
          </w:p>
        </w:tc>
      </w:tr>
      <w:tr>
        <w:trPr/>
        <w:tc>
          <w:tcPr>
            <w:tcW w:w="5184" w:type="dxa"/>
            <w:tcBorders/>
          </w:tcPr>
          <w:p>
            <w:pPr>
              <w:pStyle w:val="TableContents"/>
              <w:bidi w:val="0"/>
              <w:spacing w:before="0" w:after="283"/>
              <w:jc w:val="center"/>
              <w:rPr/>
            </w:pPr>
            <w:r>
              <w:rPr/>
              <w:t>313(d)</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5.04</w:t>
            </w:r>
          </w:p>
        </w:tc>
      </w:tr>
      <w:tr>
        <w:trPr/>
        <w:tc>
          <w:tcPr>
            <w:tcW w:w="5184" w:type="dxa"/>
            <w:tcBorders/>
          </w:tcPr>
          <w:p>
            <w:pPr>
              <w:pStyle w:val="TableContents"/>
              <w:bidi w:val="0"/>
              <w:spacing w:before="0" w:after="283"/>
              <w:jc w:val="center"/>
              <w:rPr/>
            </w:pPr>
            <w:r>
              <w:rPr/>
              <w:t>314(a)</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5.03</w:t>
            </w:r>
          </w:p>
        </w:tc>
      </w:tr>
      <w:tr>
        <w:trPr/>
        <w:tc>
          <w:tcPr>
            <w:tcW w:w="5184" w:type="dxa"/>
            <w:tcBorders/>
          </w:tcPr>
          <w:p>
            <w:pPr>
              <w:pStyle w:val="TableContents"/>
              <w:bidi w:val="0"/>
              <w:spacing w:before="0" w:after="283"/>
              <w:jc w:val="center"/>
              <w:rPr/>
            </w:pPr>
            <w:r>
              <w:rPr/>
              <w:t>314(b)</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Not applicable</w:t>
            </w:r>
          </w:p>
        </w:tc>
      </w:tr>
      <w:tr>
        <w:trPr/>
        <w:tc>
          <w:tcPr>
            <w:tcW w:w="5184" w:type="dxa"/>
            <w:tcBorders/>
          </w:tcPr>
          <w:p>
            <w:pPr>
              <w:pStyle w:val="TableContents"/>
              <w:bidi w:val="0"/>
              <w:spacing w:before="0" w:after="283"/>
              <w:jc w:val="center"/>
              <w:rPr/>
            </w:pPr>
            <w:r>
              <w:rPr/>
              <w:t>314(c)(1) and (2)</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14.04(i)</w:t>
            </w:r>
          </w:p>
        </w:tc>
      </w:tr>
      <w:tr>
        <w:trPr/>
        <w:tc>
          <w:tcPr>
            <w:tcW w:w="5184" w:type="dxa"/>
            <w:tcBorders/>
          </w:tcPr>
          <w:p>
            <w:pPr>
              <w:pStyle w:val="TableContents"/>
              <w:bidi w:val="0"/>
              <w:spacing w:before="0" w:after="283"/>
              <w:jc w:val="center"/>
              <w:rPr/>
            </w:pPr>
            <w:r>
              <w:rPr/>
              <w:t>314(c)(3)</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Not applicable</w:t>
            </w:r>
          </w:p>
        </w:tc>
      </w:tr>
      <w:tr>
        <w:trPr/>
        <w:tc>
          <w:tcPr>
            <w:tcW w:w="5184" w:type="dxa"/>
            <w:tcBorders/>
          </w:tcPr>
          <w:p>
            <w:pPr>
              <w:pStyle w:val="TableContents"/>
              <w:bidi w:val="0"/>
              <w:spacing w:before="0" w:after="283"/>
              <w:jc w:val="center"/>
              <w:rPr/>
            </w:pPr>
            <w:r>
              <w:rPr/>
              <w:t>314(d)</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Not applicable</w:t>
            </w:r>
          </w:p>
        </w:tc>
      </w:tr>
      <w:tr>
        <w:trPr/>
        <w:tc>
          <w:tcPr>
            <w:tcW w:w="5184" w:type="dxa"/>
            <w:tcBorders/>
          </w:tcPr>
          <w:p>
            <w:pPr>
              <w:pStyle w:val="TableContents"/>
              <w:bidi w:val="0"/>
              <w:spacing w:before="0" w:after="283"/>
              <w:jc w:val="center"/>
              <w:rPr/>
            </w:pPr>
            <w:r>
              <w:rPr/>
              <w:t>314(e)</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15.05</w:t>
            </w:r>
          </w:p>
        </w:tc>
      </w:tr>
      <w:tr>
        <w:trPr/>
        <w:tc>
          <w:tcPr>
            <w:tcW w:w="5184" w:type="dxa"/>
            <w:tcBorders/>
          </w:tcPr>
          <w:p>
            <w:pPr>
              <w:pStyle w:val="TableContents"/>
              <w:bidi w:val="0"/>
              <w:spacing w:before="0" w:after="283"/>
              <w:jc w:val="center"/>
              <w:rPr/>
            </w:pPr>
            <w:r>
              <w:rPr/>
              <w:t>314(f)</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Not applicable</w:t>
            </w:r>
          </w:p>
        </w:tc>
      </w:tr>
      <w:tr>
        <w:trPr/>
        <w:tc>
          <w:tcPr>
            <w:tcW w:w="5184" w:type="dxa"/>
            <w:tcBorders/>
          </w:tcPr>
          <w:p>
            <w:pPr>
              <w:pStyle w:val="TableContents"/>
              <w:bidi w:val="0"/>
              <w:spacing w:before="0" w:after="283"/>
              <w:jc w:val="center"/>
              <w:rPr/>
            </w:pPr>
            <w:r>
              <w:rPr/>
              <w:t>315(a), (c) and (d)</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7.01</w:t>
            </w:r>
          </w:p>
        </w:tc>
      </w:tr>
      <w:tr>
        <w:trPr/>
        <w:tc>
          <w:tcPr>
            <w:tcW w:w="5184" w:type="dxa"/>
            <w:tcBorders/>
          </w:tcPr>
          <w:p>
            <w:pPr>
              <w:pStyle w:val="TableContents"/>
              <w:bidi w:val="0"/>
              <w:spacing w:before="0" w:after="283"/>
              <w:jc w:val="center"/>
              <w:rPr/>
            </w:pPr>
            <w:r>
              <w:rPr/>
              <w:t>315(b)</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7.14</w:t>
            </w:r>
          </w:p>
        </w:tc>
      </w:tr>
      <w:tr>
        <w:trPr/>
        <w:tc>
          <w:tcPr>
            <w:tcW w:w="5184" w:type="dxa"/>
            <w:tcBorders/>
          </w:tcPr>
          <w:p>
            <w:pPr>
              <w:pStyle w:val="TableContents"/>
              <w:bidi w:val="0"/>
              <w:spacing w:before="0" w:after="283"/>
              <w:jc w:val="center"/>
              <w:rPr/>
            </w:pPr>
            <w:r>
              <w:rPr/>
              <w:t>315(e)</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6.14</w:t>
            </w:r>
          </w:p>
        </w:tc>
      </w:tr>
      <w:tr>
        <w:trPr/>
        <w:tc>
          <w:tcPr>
            <w:tcW w:w="5184" w:type="dxa"/>
            <w:tcBorders/>
          </w:tcPr>
          <w:p>
            <w:pPr>
              <w:pStyle w:val="TableContents"/>
              <w:bidi w:val="0"/>
              <w:spacing w:before="0" w:after="283"/>
              <w:jc w:val="center"/>
              <w:rPr/>
            </w:pPr>
            <w:r>
              <w:rPr/>
              <w:t>316(a)(1)</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6.12</w:t>
            </w:r>
          </w:p>
        </w:tc>
      </w:tr>
      <w:tr>
        <w:trPr/>
        <w:tc>
          <w:tcPr>
            <w:tcW w:w="5184" w:type="dxa"/>
            <w:tcBorders/>
          </w:tcPr>
          <w:p>
            <w:pPr>
              <w:pStyle w:val="TableContents"/>
              <w:bidi w:val="0"/>
              <w:spacing w:before="0" w:after="283"/>
              <w:jc w:val="center"/>
              <w:rPr/>
            </w:pPr>
            <w:r>
              <w:rPr/>
              <w:t>316(a)(2)</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Omitted</w:t>
            </w:r>
          </w:p>
        </w:tc>
      </w:tr>
      <w:tr>
        <w:trPr/>
        <w:tc>
          <w:tcPr>
            <w:tcW w:w="5184" w:type="dxa"/>
            <w:tcBorders/>
          </w:tcPr>
          <w:p>
            <w:pPr>
              <w:pStyle w:val="TableContents"/>
              <w:bidi w:val="0"/>
              <w:spacing w:before="0" w:after="283"/>
              <w:jc w:val="center"/>
              <w:rPr/>
            </w:pPr>
            <w:r>
              <w:rPr/>
              <w:t>316(a) last sentence</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8.04</w:t>
            </w:r>
          </w:p>
        </w:tc>
      </w:tr>
      <w:tr>
        <w:trPr/>
        <w:tc>
          <w:tcPr>
            <w:tcW w:w="5184" w:type="dxa"/>
            <w:tcBorders/>
          </w:tcPr>
          <w:p>
            <w:pPr>
              <w:pStyle w:val="TableContents"/>
              <w:bidi w:val="0"/>
              <w:spacing w:before="0" w:after="283"/>
              <w:jc w:val="center"/>
              <w:rPr/>
            </w:pPr>
            <w:r>
              <w:rPr/>
              <w:t>316(b)</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6.08</w:t>
            </w:r>
          </w:p>
        </w:tc>
      </w:tr>
      <w:tr>
        <w:trPr/>
        <w:tc>
          <w:tcPr>
            <w:tcW w:w="5184" w:type="dxa"/>
            <w:tcBorders/>
          </w:tcPr>
          <w:p>
            <w:pPr>
              <w:pStyle w:val="TableContents"/>
              <w:bidi w:val="0"/>
              <w:spacing w:before="0" w:after="283"/>
              <w:jc w:val="center"/>
              <w:rPr/>
            </w:pPr>
            <w:r>
              <w:rPr/>
              <w:t>316(c)</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8.06</w:t>
            </w:r>
          </w:p>
        </w:tc>
      </w:tr>
      <w:tr>
        <w:trPr/>
        <w:tc>
          <w:tcPr>
            <w:tcW w:w="5184" w:type="dxa"/>
            <w:tcBorders/>
          </w:tcPr>
          <w:p>
            <w:pPr>
              <w:pStyle w:val="TableContents"/>
              <w:bidi w:val="0"/>
              <w:spacing w:before="0" w:after="283"/>
              <w:jc w:val="center"/>
              <w:rPr/>
            </w:pPr>
            <w:r>
              <w:rPr/>
              <w:t>317(a)</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6.03 and 6.04</w:t>
            </w:r>
          </w:p>
        </w:tc>
      </w:tr>
      <w:tr>
        <w:trPr/>
        <w:tc>
          <w:tcPr>
            <w:tcW w:w="5184" w:type="dxa"/>
            <w:tcBorders/>
          </w:tcPr>
          <w:p>
            <w:pPr>
              <w:pStyle w:val="TableContents"/>
              <w:bidi w:val="0"/>
              <w:spacing w:before="0" w:after="283"/>
              <w:jc w:val="center"/>
              <w:rPr/>
            </w:pPr>
            <w:r>
              <w:rPr/>
              <w:t>317(b)</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4.03(a)</w:t>
            </w:r>
          </w:p>
        </w:tc>
      </w:tr>
      <w:tr>
        <w:trPr/>
        <w:tc>
          <w:tcPr>
            <w:tcW w:w="5184" w:type="dxa"/>
            <w:tcBorders/>
          </w:tcPr>
          <w:p>
            <w:pPr>
              <w:pStyle w:val="TableContents"/>
              <w:bidi w:val="0"/>
              <w:spacing w:before="0" w:after="283"/>
              <w:jc w:val="center"/>
              <w:rPr/>
            </w:pPr>
            <w:r>
              <w:rPr/>
              <w:t>318(a)</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pPr>
            <w:r>
              <w:rPr/>
              <w:t>15.07</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This reconciliation and tie shall not, for any purpose, be deemed to be a part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Attention should also be directed to Section 318(c) of the Trust Indenture Act, which provides that the provisions of Sections 310 to and including Section 317 of the Trust Indenture Act are a part of and govern every qualified indenture, whether or not physically contained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17"/>
        <w:gridCol w:w="333"/>
        <w:gridCol w:w="110"/>
        <w:gridCol w:w="482"/>
        <w:gridCol w:w="63"/>
      </w:tblGrid>
      <w:tr>
        <w:trPr/>
        <w:tc>
          <w:tcPr>
            <w:tcW w:w="9217"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17"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592" w:type="dxa"/>
            <w:gridSpan w:val="2"/>
            <w:tcBorders/>
            <w:vAlign w:val="bottom"/>
          </w:tcPr>
          <w:p>
            <w:pPr>
              <w:pStyle w:val="TableContents"/>
              <w:bidi w:val="0"/>
              <w:spacing w:before="0" w:after="283"/>
              <w:jc w:val="center"/>
              <w:rPr>
                <w:b/>
              </w:rPr>
            </w:pPr>
            <w:r>
              <w:rPr>
                <w:b/>
              </w:rPr>
              <w:t>Page(s)</w:t>
            </w:r>
          </w:p>
        </w:tc>
        <w:tc>
          <w:tcPr>
            <w:tcW w:w="63" w:type="dxa"/>
            <w:tcBorders/>
            <w:vAlign w:val="bottom"/>
          </w:tcPr>
          <w:p>
            <w:pPr>
              <w:pStyle w:val="TableContents"/>
              <w:bidi w:val="0"/>
              <w:spacing w:before="0" w:after="283"/>
              <w:jc w:val="left"/>
              <w:rPr/>
            </w:pPr>
            <w:r>
              <w:rPr/>
              <w:t> </w:t>
            </w:r>
          </w:p>
        </w:tc>
      </w:tr>
      <w:tr>
        <w:trPr>
          <w:trHeight w:val="120" w:hRule="atLeast"/>
        </w:trPr>
        <w:tc>
          <w:tcPr>
            <w:tcW w:w="9217" w:type="dxa"/>
            <w:tcBorders/>
            <w:vAlign w:val="center"/>
          </w:tcPr>
          <w:p>
            <w:pPr>
              <w:pStyle w:val="TableContents"/>
              <w:bidi w:val="0"/>
              <w:spacing w:before="0" w:after="283"/>
              <w:jc w:val="left"/>
              <w:rPr>
                <w:sz w:val="4"/>
                <w:szCs w:val="4"/>
              </w:rPr>
            </w:pPr>
            <w:r>
              <w:rPr>
                <w:sz w:val="4"/>
                <w:szCs w:val="4"/>
              </w:rPr>
            </w:r>
          </w:p>
        </w:tc>
        <w:tc>
          <w:tcPr>
            <w:tcW w:w="988" w:type="dxa"/>
            <w:gridSpan w:val="4"/>
            <w:tcBorders/>
            <w:vAlign w:val="center"/>
          </w:tcPr>
          <w:p>
            <w:pPr>
              <w:pStyle w:val="TableContents"/>
              <w:bidi w:val="0"/>
              <w:spacing w:before="0" w:after="283"/>
              <w:jc w:val="left"/>
              <w:rPr>
                <w:sz w:val="4"/>
                <w:szCs w:val="4"/>
              </w:rPr>
            </w:pPr>
            <w:r>
              <w:rPr>
                <w:sz w:val="4"/>
                <w:szCs w:val="4"/>
              </w:rPr>
            </w:r>
          </w:p>
        </w:tc>
      </w:tr>
      <w:tr>
        <w:trPr/>
        <w:tc>
          <w:tcPr>
            <w:tcW w:w="9217" w:type="dxa"/>
            <w:tcBorders/>
            <w:vAlign w:val="bottom"/>
          </w:tcPr>
          <w:p>
            <w:pPr>
              <w:pStyle w:val="TableContents"/>
              <w:bidi w:val="0"/>
              <w:spacing w:before="0" w:after="283"/>
              <w:jc w:val="left"/>
              <w:rPr/>
            </w:pPr>
            <w:r>
              <w:rPr/>
              <w:t>ARTICLE 1 DEFINITIONS</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217" w:type="dxa"/>
            <w:tcBorders/>
            <w:vAlign w:val="center"/>
          </w:tcPr>
          <w:p>
            <w:pPr>
              <w:pStyle w:val="TableContents"/>
              <w:bidi w:val="0"/>
              <w:spacing w:before="0" w:after="283"/>
              <w:jc w:val="left"/>
              <w:rPr>
                <w:sz w:val="4"/>
                <w:szCs w:val="4"/>
              </w:rPr>
            </w:pPr>
            <w:r>
              <w:rPr>
                <w:sz w:val="4"/>
                <w:szCs w:val="4"/>
              </w:rPr>
            </w:r>
          </w:p>
        </w:tc>
        <w:tc>
          <w:tcPr>
            <w:tcW w:w="988" w:type="dxa"/>
            <w:gridSpan w:val="4"/>
            <w:tcBorders/>
            <w:vAlign w:val="center"/>
          </w:tcPr>
          <w:p>
            <w:pPr>
              <w:pStyle w:val="TableContents"/>
              <w:bidi w:val="0"/>
              <w:spacing w:before="0" w:after="283"/>
              <w:jc w:val="left"/>
              <w:rPr>
                <w:sz w:val="4"/>
                <w:szCs w:val="4"/>
              </w:rPr>
            </w:pPr>
            <w:r>
              <w:rPr>
                <w:sz w:val="4"/>
                <w:szCs w:val="4"/>
              </w:rPr>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1.01. Definitions</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1.02. Incorporation by Reference of Trust Indenture Act</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1.03. Rules of Construction</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217" w:type="dxa"/>
            <w:tcBorders/>
            <w:vAlign w:val="center"/>
          </w:tcPr>
          <w:p>
            <w:pPr>
              <w:pStyle w:val="TableContents"/>
              <w:bidi w:val="0"/>
              <w:spacing w:before="0" w:after="283"/>
              <w:jc w:val="left"/>
              <w:rPr>
                <w:sz w:val="4"/>
                <w:szCs w:val="4"/>
              </w:rPr>
            </w:pPr>
            <w:r>
              <w:rPr>
                <w:sz w:val="4"/>
                <w:szCs w:val="4"/>
              </w:rPr>
            </w:r>
          </w:p>
        </w:tc>
        <w:tc>
          <w:tcPr>
            <w:tcW w:w="988" w:type="dxa"/>
            <w:gridSpan w:val="4"/>
            <w:tcBorders/>
            <w:vAlign w:val="center"/>
          </w:tcPr>
          <w:p>
            <w:pPr>
              <w:pStyle w:val="TableContents"/>
              <w:bidi w:val="0"/>
              <w:spacing w:before="0" w:after="283"/>
              <w:jc w:val="left"/>
              <w:rPr>
                <w:sz w:val="4"/>
                <w:szCs w:val="4"/>
              </w:rPr>
            </w:pPr>
            <w:r>
              <w:rPr>
                <w:sz w:val="4"/>
                <w:szCs w:val="4"/>
              </w:rPr>
            </w:r>
          </w:p>
        </w:tc>
      </w:tr>
      <w:tr>
        <w:trPr/>
        <w:tc>
          <w:tcPr>
            <w:tcW w:w="9217" w:type="dxa"/>
            <w:tcBorders/>
            <w:vAlign w:val="bottom"/>
          </w:tcPr>
          <w:p>
            <w:pPr>
              <w:pStyle w:val="TableContents"/>
              <w:bidi w:val="0"/>
              <w:spacing w:before="0" w:after="283"/>
              <w:jc w:val="left"/>
              <w:rPr/>
            </w:pPr>
            <w:r>
              <w:rPr/>
              <w:t>ARTICLE 2 ISSUE, EXECUTION, REGISTRATION AND EXCHANGE OF SECURITIES</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217" w:type="dxa"/>
            <w:tcBorders/>
            <w:vAlign w:val="center"/>
          </w:tcPr>
          <w:p>
            <w:pPr>
              <w:pStyle w:val="TableContents"/>
              <w:bidi w:val="0"/>
              <w:spacing w:before="0" w:after="283"/>
              <w:jc w:val="left"/>
              <w:rPr>
                <w:sz w:val="4"/>
                <w:szCs w:val="4"/>
              </w:rPr>
            </w:pPr>
            <w:r>
              <w:rPr>
                <w:sz w:val="4"/>
                <w:szCs w:val="4"/>
              </w:rPr>
            </w:r>
          </w:p>
        </w:tc>
        <w:tc>
          <w:tcPr>
            <w:tcW w:w="988" w:type="dxa"/>
            <w:gridSpan w:val="4"/>
            <w:tcBorders/>
            <w:vAlign w:val="center"/>
          </w:tcPr>
          <w:p>
            <w:pPr>
              <w:pStyle w:val="TableContents"/>
              <w:bidi w:val="0"/>
              <w:spacing w:before="0" w:after="283"/>
              <w:jc w:val="left"/>
              <w:rPr>
                <w:sz w:val="4"/>
                <w:szCs w:val="4"/>
              </w:rPr>
            </w:pPr>
            <w:r>
              <w:rPr>
                <w:sz w:val="4"/>
                <w:szCs w:val="4"/>
              </w:rPr>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2.01. Amount Unlimited; Issuable in Series</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2.02. Form of Trustee’s Certificate of Authentication</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2.03. Form of Securities Generally; Establishment of Terms of Series</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2.04. Securities in Global Form</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2.05. Denominations; Record Date; Payment of Interest</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2.06. Execution, Authentication, Delivery and Dating of Securities</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2.07. Exchange and Registration of Transfer of Securities</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2.08. Temporary Securities</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2.09. Mutilated, Destroyed, Lost or Stolen Securities</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2.10. Cancellation</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2.11. Book-Entry Only System</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217" w:type="dxa"/>
            <w:tcBorders/>
            <w:vAlign w:val="center"/>
          </w:tcPr>
          <w:p>
            <w:pPr>
              <w:pStyle w:val="TableContents"/>
              <w:bidi w:val="0"/>
              <w:spacing w:before="0" w:after="283"/>
              <w:jc w:val="left"/>
              <w:rPr>
                <w:sz w:val="4"/>
                <w:szCs w:val="4"/>
              </w:rPr>
            </w:pPr>
            <w:r>
              <w:rPr>
                <w:sz w:val="4"/>
                <w:szCs w:val="4"/>
              </w:rPr>
            </w:r>
          </w:p>
        </w:tc>
        <w:tc>
          <w:tcPr>
            <w:tcW w:w="988" w:type="dxa"/>
            <w:gridSpan w:val="4"/>
            <w:tcBorders/>
            <w:vAlign w:val="center"/>
          </w:tcPr>
          <w:p>
            <w:pPr>
              <w:pStyle w:val="TableContents"/>
              <w:bidi w:val="0"/>
              <w:spacing w:before="0" w:after="283"/>
              <w:jc w:val="left"/>
              <w:rPr>
                <w:sz w:val="4"/>
                <w:szCs w:val="4"/>
              </w:rPr>
            </w:pPr>
            <w:r>
              <w:rPr>
                <w:sz w:val="4"/>
                <w:szCs w:val="4"/>
              </w:rPr>
            </w:r>
          </w:p>
        </w:tc>
      </w:tr>
      <w:tr>
        <w:trPr/>
        <w:tc>
          <w:tcPr>
            <w:tcW w:w="9217" w:type="dxa"/>
            <w:tcBorders/>
            <w:vAlign w:val="bottom"/>
          </w:tcPr>
          <w:p>
            <w:pPr>
              <w:pStyle w:val="TableContents"/>
              <w:bidi w:val="0"/>
              <w:spacing w:before="0" w:after="283"/>
              <w:jc w:val="left"/>
              <w:rPr/>
            </w:pPr>
            <w:r>
              <w:rPr/>
              <w:t>ARTICLE 3 REDEMPTION OF SECURITIES</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217" w:type="dxa"/>
            <w:tcBorders/>
            <w:vAlign w:val="center"/>
          </w:tcPr>
          <w:p>
            <w:pPr>
              <w:pStyle w:val="TableContents"/>
              <w:bidi w:val="0"/>
              <w:spacing w:before="0" w:after="283"/>
              <w:jc w:val="left"/>
              <w:rPr>
                <w:sz w:val="4"/>
                <w:szCs w:val="4"/>
              </w:rPr>
            </w:pPr>
            <w:r>
              <w:rPr>
                <w:sz w:val="4"/>
                <w:szCs w:val="4"/>
              </w:rPr>
            </w:r>
          </w:p>
        </w:tc>
        <w:tc>
          <w:tcPr>
            <w:tcW w:w="988" w:type="dxa"/>
            <w:gridSpan w:val="4"/>
            <w:tcBorders/>
            <w:vAlign w:val="center"/>
          </w:tcPr>
          <w:p>
            <w:pPr>
              <w:pStyle w:val="TableContents"/>
              <w:bidi w:val="0"/>
              <w:spacing w:before="0" w:after="283"/>
              <w:jc w:val="left"/>
              <w:rPr>
                <w:sz w:val="4"/>
                <w:szCs w:val="4"/>
              </w:rPr>
            </w:pPr>
            <w:r>
              <w:rPr>
                <w:sz w:val="4"/>
                <w:szCs w:val="4"/>
              </w:rPr>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3.01. Redemption of Securities, Applicability of Section</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3.02. Notice of Redemption, Selection of Securities</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3.03. Payment of Securities Called for Redemption</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3.04. Redemption Suspended During Event of Default</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20" w:hRule="atLeast"/>
        </w:trPr>
        <w:tc>
          <w:tcPr>
            <w:tcW w:w="9217" w:type="dxa"/>
            <w:tcBorders/>
            <w:vAlign w:val="center"/>
          </w:tcPr>
          <w:p>
            <w:pPr>
              <w:pStyle w:val="TableContents"/>
              <w:bidi w:val="0"/>
              <w:spacing w:before="0" w:after="283"/>
              <w:jc w:val="left"/>
              <w:rPr>
                <w:sz w:val="4"/>
                <w:szCs w:val="4"/>
              </w:rPr>
            </w:pPr>
            <w:r>
              <w:rPr>
                <w:sz w:val="4"/>
                <w:szCs w:val="4"/>
              </w:rPr>
            </w:r>
          </w:p>
        </w:tc>
        <w:tc>
          <w:tcPr>
            <w:tcW w:w="988" w:type="dxa"/>
            <w:gridSpan w:val="4"/>
            <w:tcBorders/>
            <w:vAlign w:val="center"/>
          </w:tcPr>
          <w:p>
            <w:pPr>
              <w:pStyle w:val="TableContents"/>
              <w:bidi w:val="0"/>
              <w:spacing w:before="0" w:after="283"/>
              <w:jc w:val="left"/>
              <w:rPr>
                <w:sz w:val="4"/>
                <w:szCs w:val="4"/>
              </w:rPr>
            </w:pPr>
            <w:r>
              <w:rPr>
                <w:sz w:val="4"/>
                <w:szCs w:val="4"/>
              </w:rPr>
            </w:r>
          </w:p>
        </w:tc>
      </w:tr>
      <w:tr>
        <w:trPr/>
        <w:tc>
          <w:tcPr>
            <w:tcW w:w="9217" w:type="dxa"/>
            <w:tcBorders/>
            <w:vAlign w:val="bottom"/>
          </w:tcPr>
          <w:p>
            <w:pPr>
              <w:pStyle w:val="TableContents"/>
              <w:bidi w:val="0"/>
              <w:spacing w:before="0" w:after="283"/>
              <w:jc w:val="left"/>
              <w:rPr/>
            </w:pPr>
            <w:r>
              <w:rPr/>
              <w:t>ARTICLE 4 PARTICULAR COVENANTS OF THE COMPANY</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20" w:hRule="atLeast"/>
        </w:trPr>
        <w:tc>
          <w:tcPr>
            <w:tcW w:w="9217" w:type="dxa"/>
            <w:tcBorders/>
            <w:vAlign w:val="center"/>
          </w:tcPr>
          <w:p>
            <w:pPr>
              <w:pStyle w:val="TableContents"/>
              <w:bidi w:val="0"/>
              <w:spacing w:before="0" w:after="283"/>
              <w:jc w:val="left"/>
              <w:rPr>
                <w:sz w:val="4"/>
                <w:szCs w:val="4"/>
              </w:rPr>
            </w:pPr>
            <w:r>
              <w:rPr>
                <w:sz w:val="4"/>
                <w:szCs w:val="4"/>
              </w:rPr>
            </w:r>
          </w:p>
        </w:tc>
        <w:tc>
          <w:tcPr>
            <w:tcW w:w="988" w:type="dxa"/>
            <w:gridSpan w:val="4"/>
            <w:tcBorders/>
            <w:vAlign w:val="center"/>
          </w:tcPr>
          <w:p>
            <w:pPr>
              <w:pStyle w:val="TableContents"/>
              <w:bidi w:val="0"/>
              <w:spacing w:before="0" w:after="283"/>
              <w:jc w:val="left"/>
              <w:rPr>
                <w:sz w:val="4"/>
                <w:szCs w:val="4"/>
              </w:rPr>
            </w:pPr>
            <w:r>
              <w:rPr>
                <w:sz w:val="4"/>
                <w:szCs w:val="4"/>
              </w:rPr>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4.01. Payment of Principal, Premium and Interest</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4.02. Offices for Notices and Payments</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4.03. Provisions as to Paying Agent</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4.04. Statement as to Compliance</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4.05. Corporate Existence</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4.06. Waiver of Covenants</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9217" w:type="dxa"/>
            <w:tcBorders/>
            <w:vAlign w:val="center"/>
          </w:tcPr>
          <w:p>
            <w:pPr>
              <w:pStyle w:val="TableContents"/>
              <w:bidi w:val="0"/>
              <w:spacing w:before="0" w:after="283"/>
              <w:jc w:val="left"/>
              <w:rPr>
                <w:sz w:val="4"/>
                <w:szCs w:val="4"/>
              </w:rPr>
            </w:pPr>
            <w:r>
              <w:rPr>
                <w:sz w:val="4"/>
                <w:szCs w:val="4"/>
              </w:rPr>
            </w:r>
          </w:p>
        </w:tc>
        <w:tc>
          <w:tcPr>
            <w:tcW w:w="988" w:type="dxa"/>
            <w:gridSpan w:val="4"/>
            <w:tcBorders/>
            <w:vAlign w:val="center"/>
          </w:tcPr>
          <w:p>
            <w:pPr>
              <w:pStyle w:val="TableContents"/>
              <w:bidi w:val="0"/>
              <w:spacing w:before="0" w:after="283"/>
              <w:jc w:val="left"/>
              <w:rPr>
                <w:sz w:val="4"/>
                <w:szCs w:val="4"/>
              </w:rPr>
            </w:pPr>
            <w:r>
              <w:rPr>
                <w:sz w:val="4"/>
                <w:szCs w:val="4"/>
              </w:rPr>
            </w:r>
          </w:p>
        </w:tc>
      </w:tr>
      <w:tr>
        <w:trPr/>
        <w:tc>
          <w:tcPr>
            <w:tcW w:w="9217" w:type="dxa"/>
            <w:tcBorders/>
            <w:vAlign w:val="bottom"/>
          </w:tcPr>
          <w:p>
            <w:pPr>
              <w:pStyle w:val="TableContents"/>
              <w:bidi w:val="0"/>
              <w:spacing w:before="0" w:after="283"/>
              <w:jc w:val="left"/>
              <w:rPr/>
            </w:pPr>
            <w:r>
              <w:rPr/>
              <w:t>ARTICLE 5 SECURITYHOLDER LISTS AND REPORTS BY THE COMPANY AND THE TRUSTEE</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9217" w:type="dxa"/>
            <w:tcBorders/>
            <w:vAlign w:val="center"/>
          </w:tcPr>
          <w:p>
            <w:pPr>
              <w:pStyle w:val="TableContents"/>
              <w:bidi w:val="0"/>
              <w:spacing w:before="0" w:after="283"/>
              <w:jc w:val="left"/>
              <w:rPr>
                <w:sz w:val="4"/>
                <w:szCs w:val="4"/>
              </w:rPr>
            </w:pPr>
            <w:r>
              <w:rPr>
                <w:sz w:val="4"/>
                <w:szCs w:val="4"/>
              </w:rPr>
            </w:r>
          </w:p>
        </w:tc>
        <w:tc>
          <w:tcPr>
            <w:tcW w:w="988" w:type="dxa"/>
            <w:gridSpan w:val="4"/>
            <w:tcBorders/>
            <w:vAlign w:val="center"/>
          </w:tcPr>
          <w:p>
            <w:pPr>
              <w:pStyle w:val="TableContents"/>
              <w:bidi w:val="0"/>
              <w:spacing w:before="0" w:after="283"/>
              <w:jc w:val="left"/>
              <w:rPr>
                <w:sz w:val="4"/>
                <w:szCs w:val="4"/>
              </w:rPr>
            </w:pPr>
            <w:r>
              <w:rPr>
                <w:sz w:val="4"/>
                <w:szCs w:val="4"/>
              </w:rPr>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5.01. Securityholder Lists</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5.02. Preservation and Disclosure of Lists</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5.03. Reports by the Company</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5.04. Reports by the Trustee</w:t>
            </w:r>
          </w:p>
        </w:tc>
        <w:tc>
          <w:tcPr>
            <w:tcW w:w="33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659"/>
        <w:gridCol w:w="164"/>
        <w:gridCol w:w="60"/>
        <w:gridCol w:w="260"/>
        <w:gridCol w:w="62"/>
      </w:tblGrid>
      <w:tr>
        <w:trPr/>
        <w:tc>
          <w:tcPr>
            <w:tcW w:w="9659"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59" w:type="dxa"/>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tcBorders/>
            <w:vAlign w:val="bottom"/>
          </w:tcPr>
          <w:p>
            <w:pPr>
              <w:pStyle w:val="TableContents"/>
              <w:bidi w:val="0"/>
              <w:spacing w:before="0" w:after="283"/>
              <w:jc w:val="left"/>
              <w:rPr/>
            </w:pPr>
            <w:r>
              <w:rPr/>
              <w:t>ARTICLE 6 REMEDIES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rHeight w:val="120" w:hRule="atLeast"/>
        </w:trPr>
        <w:tc>
          <w:tcPr>
            <w:tcW w:w="9659" w:type="dxa"/>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6.01. Events of Default; Acceleration of Maturity</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6.02. Rescission and Annulment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6.03. Collection of Indebtedness and Suits for Enforcement by Trustee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6.04. Trustee May File Proofs of Claim</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6.05. Trustee May Enforce Claims Without Possession of Securities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6.06. Application of Money Collected</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6.07. Limitation on Suits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6.08. Unconditional Right of Securityholders to Receive Principal and Interest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6.09. Restoration of Rights and Remedies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6.10. Rights and Remedies Cumulative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6.11. Delay or Omission Not Waiver</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6.12. Control by Securityholders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6.13. Waiver of Past Defaults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6.14. Undertaking for Costs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6.15. Waiver of Stay or Extension Laws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rHeight w:val="120" w:hRule="atLeast"/>
        </w:trPr>
        <w:tc>
          <w:tcPr>
            <w:tcW w:w="9659" w:type="dxa"/>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tcBorders/>
            <w:vAlign w:val="bottom"/>
          </w:tcPr>
          <w:p>
            <w:pPr>
              <w:pStyle w:val="TableContents"/>
              <w:bidi w:val="0"/>
              <w:spacing w:before="0" w:after="283"/>
              <w:jc w:val="left"/>
              <w:rPr/>
            </w:pPr>
            <w:r>
              <w:rPr/>
              <w:t>ARTICLE 7 CONCERNING THE TRUSTEE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rHeight w:val="120" w:hRule="atLeast"/>
        </w:trPr>
        <w:tc>
          <w:tcPr>
            <w:tcW w:w="9659" w:type="dxa"/>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7.01. Duties and Responsibilities of Trustee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7.02. Reliance on Documents, Opinions, etc.</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7.03. No Responsibility for Recitals, etc.</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7.04. Ownership of Securities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7.05. Moneys to be Held in Trust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7.06. Compensation and Expenses of Trustee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7.07. Officer’s Certificate or Opinion of Counsel as Evidence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7.08. Disqualifications; Conflicting Interest of Trustee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7.09. Eligibility of Trustee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7.10. Resignation or Removal of Trustee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7.11. Acceptance by Successor Trustee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7.12. Successor by Merger, etc.</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7.13. Limitations on Rights of Trustee as Creditor</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7.14. Notice of Default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7.15. Appointment of Authenticating Agent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rHeight w:val="120" w:hRule="atLeast"/>
        </w:trPr>
        <w:tc>
          <w:tcPr>
            <w:tcW w:w="9659" w:type="dxa"/>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tcBorders/>
            <w:vAlign w:val="bottom"/>
          </w:tcPr>
          <w:p>
            <w:pPr>
              <w:pStyle w:val="TableContents"/>
              <w:bidi w:val="0"/>
              <w:spacing w:before="0" w:after="283"/>
              <w:jc w:val="left"/>
              <w:rPr/>
            </w:pPr>
            <w:r>
              <w:rPr/>
              <w:t>ARTICLE 8 CONCERNING THE SECURITYHOLDERS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rHeight w:val="120" w:hRule="atLeast"/>
        </w:trPr>
        <w:tc>
          <w:tcPr>
            <w:tcW w:w="9659" w:type="dxa"/>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8.01. Action by Securityholders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8.02. Proof of Execution by Securityholders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8.03. Who Are Deemed Absolute Owners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8.04. Company-Owned Securities Disregarded</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8.05. Revocation of Consents; Future Securityholders Bound</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8.06. Record Date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657"/>
        <w:gridCol w:w="164"/>
        <w:gridCol w:w="60"/>
        <w:gridCol w:w="261"/>
        <w:gridCol w:w="63"/>
      </w:tblGrid>
      <w:tr>
        <w:trPr/>
        <w:tc>
          <w:tcPr>
            <w:tcW w:w="9657"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57" w:type="dxa"/>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9657" w:type="dxa"/>
            <w:tcBorders/>
            <w:vAlign w:val="bottom"/>
          </w:tcPr>
          <w:p>
            <w:pPr>
              <w:pStyle w:val="TableContents"/>
              <w:bidi w:val="0"/>
              <w:spacing w:before="0" w:after="283"/>
              <w:jc w:val="left"/>
              <w:rPr/>
            </w:pPr>
            <w:r>
              <w:rPr/>
              <w:t>ARTICLE 9 SECURITYHOLDERS’ MEETINGS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9657" w:type="dxa"/>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9.01. Purposes of Meeting</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9.02. Call of Meetings by Trustee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9.03. Call of Meetings by Company or Securityholders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9.04. Qualifications for Voting</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9.05. Regulations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9.06. Voting</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9657" w:type="dxa"/>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9657" w:type="dxa"/>
            <w:tcBorders/>
            <w:vAlign w:val="bottom"/>
          </w:tcPr>
          <w:p>
            <w:pPr>
              <w:pStyle w:val="TableContents"/>
              <w:bidi w:val="0"/>
              <w:spacing w:before="0" w:after="283"/>
              <w:jc w:val="left"/>
              <w:rPr/>
            </w:pPr>
            <w:r>
              <w:rPr/>
              <w:t>ARTICLE 10 SUPPLEMENTAL INDENTURES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9657" w:type="dxa"/>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10.01. Supplemental Indentures without Consent of Securityholders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10.02. Supplemental Indentures with Consent of Holders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10.03. Compliance with Trust Indenture Act; Effect of Supplemental Indentures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10.04. Notation on Securities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10.05. Trustee to Sign Supplemental Indentures, Etc.</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rHeight w:val="120" w:hRule="atLeast"/>
        </w:trPr>
        <w:tc>
          <w:tcPr>
            <w:tcW w:w="9657" w:type="dxa"/>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9657" w:type="dxa"/>
            <w:tcBorders/>
            <w:vAlign w:val="bottom"/>
          </w:tcPr>
          <w:p>
            <w:pPr>
              <w:pStyle w:val="TableContents"/>
              <w:bidi w:val="0"/>
              <w:spacing w:before="0" w:after="283"/>
              <w:jc w:val="left"/>
              <w:rPr/>
            </w:pPr>
            <w:r>
              <w:rPr/>
              <w:t>ARTICLE 11 CONSOLIDATION, MERGER, SALE OR CONVEYANCE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rHeight w:val="120" w:hRule="atLeast"/>
        </w:trPr>
        <w:tc>
          <w:tcPr>
            <w:tcW w:w="9657" w:type="dxa"/>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11.01. Company May Consolidate, etc., on Certain Terms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11.02. Successor Corporation Substituted</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11.03. Opinion of Counsel and Officer’s Certificate to be Given Trustee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rHeight w:val="120" w:hRule="atLeast"/>
        </w:trPr>
        <w:tc>
          <w:tcPr>
            <w:tcW w:w="9657" w:type="dxa"/>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9657" w:type="dxa"/>
            <w:tcBorders/>
            <w:vAlign w:val="bottom"/>
          </w:tcPr>
          <w:p>
            <w:pPr>
              <w:pStyle w:val="TableContents"/>
              <w:bidi w:val="0"/>
              <w:spacing w:before="0" w:after="283"/>
              <w:jc w:val="left"/>
              <w:rPr/>
            </w:pPr>
            <w:r>
              <w:rPr/>
              <w:t>ARTICLE 12 SATISFACTION AND DISCHARGE OF INDENTURE; UNCLAIMED MONEYS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rHeight w:val="120" w:hRule="atLeast"/>
        </w:trPr>
        <w:tc>
          <w:tcPr>
            <w:tcW w:w="9657" w:type="dxa"/>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12.01. Discharge of Indenture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12.02. Deposited Moneys to be Held in Trust by Trustee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12.03. Paying Agent to Repay Moneys Held</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12.04. Return of Unclaimed Moneys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rHeight w:val="120" w:hRule="atLeast"/>
        </w:trPr>
        <w:tc>
          <w:tcPr>
            <w:tcW w:w="9657" w:type="dxa"/>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9657" w:type="dxa"/>
            <w:tcBorders/>
            <w:vAlign w:val="bottom"/>
          </w:tcPr>
          <w:p>
            <w:pPr>
              <w:pStyle w:val="TableContents"/>
              <w:bidi w:val="0"/>
              <w:spacing w:before="0" w:after="283"/>
              <w:jc w:val="left"/>
              <w:rPr/>
            </w:pPr>
            <w:r>
              <w:rPr/>
              <w:t>ARTICLE 13 IMMUNITY OF INCORPORATORS, STOCKHOLDERS, OFFICERS AND DIRECTORS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rHeight w:val="120" w:hRule="atLeast"/>
        </w:trPr>
        <w:tc>
          <w:tcPr>
            <w:tcW w:w="9657" w:type="dxa"/>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13.01. Indenture and Securities Solely Corporate Obligations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rHeight w:val="120" w:hRule="atLeast"/>
        </w:trPr>
        <w:tc>
          <w:tcPr>
            <w:tcW w:w="9657" w:type="dxa"/>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9657" w:type="dxa"/>
            <w:tcBorders/>
            <w:vAlign w:val="bottom"/>
          </w:tcPr>
          <w:p>
            <w:pPr>
              <w:pStyle w:val="TableContents"/>
              <w:bidi w:val="0"/>
              <w:spacing w:before="0" w:after="283"/>
              <w:jc w:val="left"/>
              <w:rPr/>
            </w:pPr>
            <w:r>
              <w:rPr/>
              <w:t>ARTICLE 14 DEFEASANCE AND COVENANT DEFEASANCE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rHeight w:val="120" w:hRule="atLeast"/>
        </w:trPr>
        <w:tc>
          <w:tcPr>
            <w:tcW w:w="9657" w:type="dxa"/>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14.01. Applicability of Article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14.02. Defeasance and Discharge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14.03. Covenant Defeasance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14.04. Conditions to Defeasance or Covenant Defeasance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9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14.05. Deposited Money and U.S. Government Obligations to be Held in Trust; Other Miscellaneous Provisions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648"/>
        <w:gridCol w:w="168"/>
        <w:gridCol w:w="60"/>
        <w:gridCol w:w="267"/>
        <w:gridCol w:w="62"/>
      </w:tblGrid>
      <w:tr>
        <w:trPr/>
        <w:tc>
          <w:tcPr>
            <w:tcW w:w="9648"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vAlign w:val="bottom"/>
          </w:tcPr>
          <w:p>
            <w:pPr>
              <w:pStyle w:val="TableContents"/>
              <w:bidi w:val="0"/>
              <w:spacing w:before="0" w:after="283"/>
              <w:jc w:val="left"/>
              <w:rPr/>
            </w:pPr>
            <w:r>
              <w:rPr/>
              <w:t>ARTICLE 15 MISCELLANEOUS PROVISIONS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15.01. Benefits of Indenture Restricted to Parties and Securityholders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15.02. Provisions Binding on Company’s Successors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15.03. Addresses for Notices, etc., to Company and Trustee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15.04. Notice to Holders of Securities; Waiver</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15.05. Evidence of Compliance with Conditions Precedent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59</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15.06. Legal Holidays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59</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15.07. Trust Indenture Act to Control</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59</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15.08. Execution in Counterparts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59</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15.09. Governing Law; Waiver of Jury Trial</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15.10. Severability; Entire Agreement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15.11. Interpretations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15.12. U.S.A. Patriot Act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vAlign w:val="bottom"/>
          </w:tcPr>
          <w:p>
            <w:pPr>
              <w:pStyle w:val="TableContents"/>
              <w:bidi w:val="0"/>
              <w:spacing w:before="0" w:after="283"/>
              <w:jc w:val="left"/>
              <w:rPr/>
            </w:pPr>
            <w:r>
              <w:rPr/>
              <w:t>ARTICLE 16 SUBORDINATION OF SECURITIES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16.01. Securities Subordinate to Senior Indebtedness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INDENTURE, dated as of [] between First Merchants Corporation, a corporation duly organized and existing under the laws of the State of Indiana (the “Company”), and [], as trustee (the “Trustee,” which term shall include any successor trustee appointed pursuant to Article 7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deems it necessary to issue from time to time for its lawful purposes securities (the “Securities”) evidencing its indebtedness and has duly authorized the execution and delivery of this Indenture to provide for the issuance of the Securities in one or more series, unlimited as to principal amount, to bear such rates of interest, to mature at such time or times, and to have such other provisions as shall be fixed as hereinafter provided;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represents that all acts and things necessary to constitute these presents a valid indenture and agreement according to its terms have been done and performed, and the execution of this Indenture has in all respects been duly authorized, and the Company, in the exercise of legal right and power in it vested, is executing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w:t>
      </w:r>
    </w:p>
    <w:p>
      <w:pPr>
        <w:pStyle w:val="TextBody"/>
        <w:bidi w:val="0"/>
        <w:spacing w:before="240" w:after="0"/>
        <w:jc w:val="left"/>
        <w:rPr>
          <w:rFonts w:ascii="Times New Roman" w:hAnsi="Times New Roman"/>
          <w:sz w:val="20"/>
        </w:rPr>
      </w:pPr>
      <w:r>
        <w:rPr>
          <w:rFonts w:ascii="Times New Roman" w:hAnsi="Times New Roman"/>
          <w:sz w:val="20"/>
        </w:rPr>
        <w:t xml:space="preserve">In order to declare the terms and conditions upon which the Securities are authenticated, issued and received, and in consideration of the premises and the purchase and acceptance of the Securities by the holders thereof, it is mutually covenanted and agreed, for the equal and proportionate benefit of the respective holders from time to time of the Securities,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 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terms defined in this Section (except as herein otherwise expressly provided or unless the context otherwise requires) for all purposes of this Indenture and of any indenture supplemental hereto shall have the respective meanings specified in this Section. All other terms used in this Indenture that are defined in the Trust Indenture Act or that are by reference therein defined in the Securities Act shall have the meanings (except as herein otherwise expressly provided or unless the context otherwise requires) assigned to such terms in the Trust Indenture Act or in the Securities Act, as applicable, in each case as in force at the date of this Indenture as originally executed. All accounting terms used herein and not expressly defined shall have the meanings assigned to such terms in accordance with United States generally accepted accounting principles as are generally accepted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 </w:t>
      </w:r>
    </w:p>
    <w:p>
      <w:pPr>
        <w:pStyle w:val="TextBody"/>
        <w:bidi w:val="0"/>
        <w:spacing w:before="240" w:after="0"/>
        <w:jc w:val="left"/>
        <w:rPr/>
      </w:pPr>
      <w:r>
        <w:rPr/>
        <w:t>“</w:t>
      </w:r>
      <w:r>
        <w:rPr>
          <w:rFonts w:ascii="Times New Roman" w:hAnsi="Times New Roman"/>
          <w:sz w:val="20"/>
        </w:rPr>
        <w:t xml:space="preserve">Additional Amounts” shall mean any additional amounts to be paid by the Company in respect of Securities of a series, as may be specified pursuant to Section 2.03 hereof and in such Security and under the circumstances specified therein, in respect of specified taxes, assessments or other governmental charges imposed on certain holders who are United States Aliens.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Authorized Officer” shall mean the Chief Executive Officer, the Chief Financial Officer, the President, the Treasurer, any Executive Vice President or the Secretary of the Company. </w:t>
      </w:r>
    </w:p>
    <w:p>
      <w:pPr>
        <w:pStyle w:val="TextBody"/>
        <w:bidi w:val="0"/>
        <w:spacing w:before="240" w:after="0"/>
        <w:jc w:val="left"/>
        <w:rPr/>
      </w:pPr>
      <w:r>
        <w:rPr/>
        <w:t>“</w:t>
      </w:r>
      <w:r>
        <w:rPr>
          <w:rFonts w:ascii="Times New Roman" w:hAnsi="Times New Roman"/>
          <w:sz w:val="20"/>
        </w:rPr>
        <w:t xml:space="preserve">Board of Directors” or “Board” shall mean the Board of Directors of the Company or any duly authorized committee of such Board. </w:t>
      </w:r>
    </w:p>
    <w:p>
      <w:pPr>
        <w:pStyle w:val="TextBody"/>
        <w:bidi w:val="0"/>
        <w:spacing w:before="240" w:after="0"/>
        <w:jc w:val="left"/>
        <w:rPr/>
      </w:pPr>
      <w:r>
        <w:rPr/>
        <w:t>“</w:t>
      </w:r>
      <w:r>
        <w:rPr>
          <w:rFonts w:ascii="Times New Roman" w:hAnsi="Times New Roman"/>
          <w:sz w:val="20"/>
        </w:rPr>
        <w:t xml:space="preserve">Board Resolution” shall mean a resolution certified by the Secretary or an Assistant Secretary of the Company to have been duly adopted by the Board of Directors or by a committee acting under authority of or appointment by the Board of Directors and to be in full force and effect on the date of such certification, and delivered to the Trustee. </w:t>
      </w:r>
    </w:p>
    <w:p>
      <w:pPr>
        <w:pStyle w:val="TextBody"/>
        <w:bidi w:val="0"/>
        <w:spacing w:before="240" w:after="0"/>
        <w:jc w:val="left"/>
        <w:rPr/>
      </w:pPr>
      <w:r>
        <w:rPr/>
        <w:t>“</w:t>
      </w:r>
      <w:r>
        <w:rPr>
          <w:rFonts w:ascii="Times New Roman" w:hAnsi="Times New Roman"/>
          <w:sz w:val="20"/>
        </w:rPr>
        <w:t xml:space="preserve">Business Day” shall mean, unless otherwise specified pursuant to Section 2.03, any day other than a Saturday or Sunday that is neither a federal holiday nor a day on which banking institutions or trust companies in the City of New York, New York, or any Place of Payment are authorized or obligated by law, regulation or executive order to remain closed. </w:t>
      </w:r>
    </w:p>
    <w:p>
      <w:pPr>
        <w:pStyle w:val="TextBody"/>
        <w:bidi w:val="0"/>
        <w:spacing w:before="240" w:after="0"/>
        <w:jc w:val="left"/>
        <w:rPr/>
      </w:pPr>
      <w:r>
        <w:rPr/>
        <w:t>“</w:t>
      </w:r>
      <w:r>
        <w:rPr>
          <w:rFonts w:ascii="Times New Roman" w:hAnsi="Times New Roman"/>
          <w:sz w:val="20"/>
        </w:rPr>
        <w:t xml:space="preserve">Capital Stock” shall mean, as to shares of a particular corporation, outstanding shares of stock of any class, whether now or hereafter authorized, irrespective of whether such class shall be limited to a fixed sum or percentage in respect of the rights of the holders thereof to participate in dividends and in the distribution of assets upon the voluntary liquidation, dissolution or winding up of such corporation. </w:t>
      </w:r>
    </w:p>
    <w:p>
      <w:pPr>
        <w:pStyle w:val="TextBody"/>
        <w:bidi w:val="0"/>
        <w:spacing w:before="240" w:after="0"/>
        <w:jc w:val="left"/>
        <w:rPr/>
      </w:pPr>
      <w:r>
        <w:rPr/>
        <w:t>“</w:t>
      </w:r>
      <w:r>
        <w:rPr>
          <w:rFonts w:ascii="Times New Roman" w:hAnsi="Times New Roman"/>
          <w:sz w:val="20"/>
        </w:rPr>
        <w:t xml:space="preserve">Commission” shall mean the Securities and Exchange Commission or any successor agency. </w:t>
      </w:r>
    </w:p>
    <w:p>
      <w:pPr>
        <w:pStyle w:val="TextBody"/>
        <w:bidi w:val="0"/>
        <w:spacing w:before="240" w:after="0"/>
        <w:jc w:val="left"/>
        <w:rPr/>
      </w:pPr>
      <w:r>
        <w:rPr/>
        <w:t>“</w:t>
      </w:r>
      <w:r>
        <w:rPr>
          <w:rFonts w:ascii="Times New Roman" w:hAnsi="Times New Roman"/>
          <w:sz w:val="20"/>
        </w:rPr>
        <w:t xml:space="preserve">Company” shall mean the person named as the “Company” in the first paragraph of this instrument until a successor corporation shall have become such pursuant to the applicable provisions of this Indenture, and thereafter “Company” shall mean such successor corporation. </w:t>
      </w:r>
    </w:p>
    <w:p>
      <w:pPr>
        <w:pStyle w:val="TextBody"/>
        <w:bidi w:val="0"/>
        <w:spacing w:before="240" w:after="0"/>
        <w:jc w:val="left"/>
        <w:rPr/>
      </w:pPr>
      <w:r>
        <w:rPr/>
        <w:t>“</w:t>
      </w:r>
      <w:r>
        <w:rPr>
          <w:rFonts w:ascii="Times New Roman" w:hAnsi="Times New Roman"/>
          <w:sz w:val="20"/>
        </w:rPr>
        <w:t xml:space="preserve">Company Request” and “Company Order” mean, respectively, a written request or order signed in the name of the Company by its Chief Executive Officer, President, Chief Financial Officer, Vice President, General Counsel, Secretary or Assistant Secretary or Treasurer or Assistant Treasurer and delivered to the Trustee. </w:t>
      </w:r>
    </w:p>
    <w:p>
      <w:pPr>
        <w:pStyle w:val="TextBody"/>
        <w:bidi w:val="0"/>
        <w:spacing w:before="240" w:after="0"/>
        <w:jc w:val="left"/>
        <w:rPr/>
      </w:pPr>
      <w:r>
        <w:rPr/>
        <w:t>“</w:t>
      </w:r>
      <w:r>
        <w:rPr>
          <w:rFonts w:ascii="Times New Roman" w:hAnsi="Times New Roman"/>
          <w:sz w:val="20"/>
        </w:rPr>
        <w:t xml:space="preserve">Corporate Trust Office” means the office of the Trustee at which at any particular time its corporate trust business shall be principally administered, which office at the date hereof is located at [], Attention: [],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 </w:t>
      </w:r>
    </w:p>
    <w:p>
      <w:pPr>
        <w:pStyle w:val="TextBody"/>
        <w:bidi w:val="0"/>
        <w:spacing w:before="240" w:after="0"/>
        <w:jc w:val="left"/>
        <w:rPr/>
      </w:pPr>
      <w:r>
        <w:rPr/>
        <w:t>“</w:t>
      </w:r>
      <w:r>
        <w:rPr>
          <w:rFonts w:ascii="Times New Roman" w:hAnsi="Times New Roman"/>
          <w:sz w:val="20"/>
        </w:rPr>
        <w:t xml:space="preserve">covenant defeasance” shall have the meaning set forth in Section 14.03. </w:t>
      </w:r>
    </w:p>
    <w:p>
      <w:pPr>
        <w:pStyle w:val="TextBody"/>
        <w:bidi w:val="0"/>
        <w:spacing w:before="240" w:after="0"/>
        <w:jc w:val="left"/>
        <w:rPr/>
      </w:pPr>
      <w:r>
        <w:rPr/>
        <w:t>“</w:t>
      </w:r>
      <w:r>
        <w:rPr>
          <w:rFonts w:ascii="Times New Roman" w:hAnsi="Times New Roman"/>
          <w:sz w:val="20"/>
        </w:rPr>
        <w:t xml:space="preserve">Default” or “default” shall mean any event which is, or after notice or lapse of time or both would become, an Event of Default with respect to Securities of such series. </w:t>
      </w:r>
    </w:p>
    <w:p>
      <w:pPr>
        <w:pStyle w:val="TextBody"/>
        <w:bidi w:val="0"/>
        <w:spacing w:before="240" w:after="0"/>
        <w:jc w:val="left"/>
        <w:rPr/>
      </w:pPr>
      <w:r>
        <w:rPr/>
        <w:t>“</w:t>
      </w:r>
      <w:r>
        <w:rPr>
          <w:rFonts w:ascii="Times New Roman" w:hAnsi="Times New Roman"/>
          <w:sz w:val="20"/>
        </w:rPr>
        <w:t xml:space="preserve">defeasance” shall have the meaning set forth in Section 14.02.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Depositary” shall mean, with respect to the Securities of any series issuable or issued in whole or in part in the form of one or more permanent global Securities, the person designated as Depositary by the Company pursuant to Section 2.03, which must be a clearing agency registered under the Exchange Act,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series shall mean the Depositary with respect to the Securities of such series. </w:t>
      </w:r>
    </w:p>
    <w:p>
      <w:pPr>
        <w:pStyle w:val="TextBody"/>
        <w:bidi w:val="0"/>
        <w:spacing w:before="240" w:after="0"/>
        <w:jc w:val="left"/>
        <w:rPr/>
      </w:pPr>
      <w:r>
        <w:rPr/>
        <w:t>“</w:t>
      </w:r>
      <w:r>
        <w:rPr>
          <w:rFonts w:ascii="Times New Roman" w:hAnsi="Times New Roman"/>
          <w:sz w:val="20"/>
        </w:rPr>
        <w:t xml:space="preserve">Dollar” or “$” shall mean a dollar or other equivalent unit in such coin or currency of the United States of America as at the time shall be legal tender for the payment of public and private debts. </w:t>
      </w:r>
    </w:p>
    <w:p>
      <w:pPr>
        <w:pStyle w:val="TextBody"/>
        <w:bidi w:val="0"/>
        <w:spacing w:before="240" w:after="0"/>
        <w:jc w:val="left"/>
        <w:rPr/>
      </w:pPr>
      <w:r>
        <w:rPr/>
        <w:t>“</w:t>
      </w:r>
      <w:r>
        <w:rPr>
          <w:rFonts w:ascii="Times New Roman" w:hAnsi="Times New Roman"/>
          <w:sz w:val="20"/>
        </w:rPr>
        <w:t xml:space="preserve">Event of Default” shall have the meaning specified in Article 6. </w:t>
      </w:r>
    </w:p>
    <w:p>
      <w:pPr>
        <w:pStyle w:val="TextBody"/>
        <w:bidi w:val="0"/>
        <w:spacing w:before="240" w:after="0"/>
        <w:jc w:val="left"/>
        <w:rPr/>
      </w:pPr>
      <w:r>
        <w:rPr/>
        <w:t>“</w:t>
      </w:r>
      <w:r>
        <w:rPr>
          <w:rFonts w:ascii="Times New Roman" w:hAnsi="Times New Roman"/>
          <w:sz w:val="20"/>
        </w:rPr>
        <w:t xml:space="preserve">Exchange Act” shall mean the Securities Exchange Act of 1934, as amended. </w:t>
      </w:r>
    </w:p>
    <w:p>
      <w:pPr>
        <w:pStyle w:val="TextBody"/>
        <w:bidi w:val="0"/>
        <w:spacing w:before="240" w:after="0"/>
        <w:jc w:val="left"/>
        <w:rPr/>
      </w:pPr>
      <w:r>
        <w:rPr/>
        <w:t>“</w:t>
      </w:r>
      <w:r>
        <w:rPr>
          <w:rFonts w:ascii="Times New Roman" w:hAnsi="Times New Roman"/>
          <w:sz w:val="20"/>
        </w:rPr>
        <w:t xml:space="preserve">Exchange Date” shall have the meaning set forth in Section 2.08. </w:t>
      </w:r>
    </w:p>
    <w:p>
      <w:pPr>
        <w:pStyle w:val="TextBody"/>
        <w:bidi w:val="0"/>
        <w:spacing w:before="240" w:after="0"/>
        <w:jc w:val="left"/>
        <w:rPr/>
      </w:pPr>
      <w:r>
        <w:rPr/>
        <w:t>“</w:t>
      </w:r>
      <w:r>
        <w:rPr>
          <w:rFonts w:ascii="Times New Roman" w:hAnsi="Times New Roman"/>
          <w:sz w:val="20"/>
        </w:rPr>
        <w:t xml:space="preserve">global Security” or “global Securities” means a Security or Securities, as the case may be, in the form established pursuant to Section 2.03 evidencing all or part of a Series of Securities, issued to the Depositary for such Series or its nominee, and registered in the name of such Depositary or nominee. </w:t>
      </w:r>
    </w:p>
    <w:p>
      <w:pPr>
        <w:pStyle w:val="TextBody"/>
        <w:bidi w:val="0"/>
        <w:spacing w:before="240" w:after="0"/>
        <w:jc w:val="left"/>
        <w:rPr/>
      </w:pPr>
      <w:r>
        <w:rPr/>
        <w:t>“</w:t>
      </w:r>
      <w:r>
        <w:rPr>
          <w:rFonts w:ascii="Times New Roman" w:hAnsi="Times New Roman"/>
          <w:sz w:val="20"/>
        </w:rPr>
        <w:t xml:space="preserve">holder,” “holder of Securities,” “securityholder” or other similar term shall mean in the case of any Registered Security, the person in whose name such Security is registered in the Security Register kept by the Company for that purpose, in accordance with the terms hereof. </w:t>
      </w:r>
    </w:p>
    <w:p>
      <w:pPr>
        <w:pStyle w:val="TextBody"/>
        <w:bidi w:val="0"/>
        <w:spacing w:before="240" w:after="0"/>
        <w:jc w:val="left"/>
        <w:rPr/>
      </w:pPr>
      <w:r>
        <w:rPr/>
        <w:t>“</w:t>
      </w:r>
      <w:r>
        <w:rPr>
          <w:rFonts w:ascii="Times New Roman" w:hAnsi="Times New Roman"/>
          <w:sz w:val="20"/>
        </w:rPr>
        <w:t xml:space="preserve">Indenture” shall mean this instrument as originally executed and delivered or as it may from time to time be supplemented or amended by one or more indentures supplemental hereto entered into pursuant to the applicable provisions hereof, including without limitation, the forms and terms of particular series of Securities established as contemplated by Article 2. </w:t>
      </w:r>
    </w:p>
    <w:p>
      <w:pPr>
        <w:pStyle w:val="TextBody"/>
        <w:bidi w:val="0"/>
        <w:spacing w:before="240" w:after="0"/>
        <w:jc w:val="left"/>
        <w:rPr/>
      </w:pPr>
      <w:r>
        <w:rPr/>
        <w:t>“</w:t>
      </w:r>
      <w:r>
        <w:rPr>
          <w:rFonts w:ascii="Times New Roman" w:hAnsi="Times New Roman"/>
          <w:sz w:val="20"/>
        </w:rPr>
        <w:t xml:space="preserve">Material Subsidiary” means First Merchants Bank, or any successor thereof or any Subsidiary of the Company that is a depository institution and that has consolidated assets equal to 80% or more of the Company’s consolidated assets. </w:t>
      </w:r>
    </w:p>
    <w:p>
      <w:pPr>
        <w:pStyle w:val="TextBody"/>
        <w:bidi w:val="0"/>
        <w:spacing w:before="240" w:after="0"/>
        <w:jc w:val="left"/>
        <w:rPr/>
      </w:pPr>
      <w:r>
        <w:rPr/>
        <w:t>“</w:t>
      </w:r>
      <w:r>
        <w:rPr>
          <w:rFonts w:ascii="Times New Roman" w:hAnsi="Times New Roman"/>
          <w:sz w:val="20"/>
        </w:rPr>
        <w:t xml:space="preserve">Officer’s Certificate” shall mean a certificate signed by the Chief Executive Officer, President or other principal executive officer, or the Chief Financial Officer or other principal financial officer or principal accounting officer, Assistant Secretary, Treasurer or Controller of the Company and delivered to the Trustee. </w:t>
      </w:r>
    </w:p>
    <w:p>
      <w:pPr>
        <w:pStyle w:val="TextBody"/>
        <w:bidi w:val="0"/>
        <w:spacing w:before="240" w:after="0"/>
        <w:jc w:val="left"/>
        <w:rPr/>
      </w:pPr>
      <w:r>
        <w:rPr/>
        <w:t>“</w:t>
      </w:r>
      <w:r>
        <w:rPr>
          <w:rFonts w:ascii="Times New Roman" w:hAnsi="Times New Roman"/>
          <w:sz w:val="20"/>
        </w:rPr>
        <w:t xml:space="preserve">Opinion of Counsel” shall mean an opinion in writing signed by legal counsel, who may be an employee of or counsel to the Company and who shall be reasonably satisfactory to the Trustee, or who may be other counsel reasonably satisfactory to the Trustee. </w:t>
      </w:r>
    </w:p>
    <w:p>
      <w:pPr>
        <w:pStyle w:val="TextBody"/>
        <w:bidi w:val="0"/>
        <w:spacing w:before="240" w:after="0"/>
        <w:jc w:val="left"/>
        <w:rPr/>
      </w:pPr>
      <w:r>
        <w:rPr/>
        <w:t>“</w:t>
      </w:r>
      <w:r>
        <w:rPr>
          <w:rFonts w:ascii="Times New Roman" w:hAnsi="Times New Roman"/>
          <w:sz w:val="20"/>
        </w:rPr>
        <w:t xml:space="preserve">Original Issue Discount Securities” shall mean any Securities that are initially sold at a discount from the principal amount thereof and that provide upon an Event of Default for declaration of an amount less than the principal amount thereof to be due and payable upon acceleration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Outstanding” or “outstanding,” when used with reference to Securities, shall, subject to the provisions of Section 8.01 and Section 8.04, mean, as of any particular time, all Securities authenticated and delivered by the Trustee under this Indenture, except: </w:t>
      </w:r>
    </w:p>
    <w:p>
      <w:pPr>
        <w:pStyle w:val="TextBody"/>
        <w:bidi w:val="0"/>
        <w:spacing w:before="240" w:after="0"/>
        <w:jc w:val="left"/>
        <w:rPr>
          <w:rFonts w:ascii="Times New Roman" w:hAnsi="Times New Roman"/>
          <w:sz w:val="20"/>
        </w:rPr>
      </w:pPr>
      <w:r>
        <w:rPr>
          <w:rFonts w:ascii="Times New Roman" w:hAnsi="Times New Roman"/>
          <w:sz w:val="20"/>
        </w:rPr>
        <w:t xml:space="preserve">(a) Securities theretofore cancelled by the Trustee or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(b) Securities, or portions thereof, for the payment or redemption of which moneys in the necessary amount shall have been deposited in trust with the Trustee or with any paying agent (other than the Company) or shall have been set aside and segregated and held in trust by the Company (if the Company shall act as its own paying agent) for the holders of such Securities; provided, that if such Securities, or portions thereof, are to be redeemed prior to the maturity thereof, notice of such redemption shall have been given as provided in Article 3, or provision satisfactory to the Trustee shall have been made for giving such notice; </w:t>
      </w:r>
    </w:p>
    <w:p>
      <w:pPr>
        <w:pStyle w:val="TextBody"/>
        <w:bidi w:val="0"/>
        <w:spacing w:before="240" w:after="0"/>
        <w:jc w:val="left"/>
        <w:rPr>
          <w:rFonts w:ascii="Times New Roman" w:hAnsi="Times New Roman"/>
          <w:sz w:val="20"/>
        </w:rPr>
      </w:pPr>
      <w:r>
        <w:rPr>
          <w:rFonts w:ascii="Times New Roman" w:hAnsi="Times New Roman"/>
          <w:sz w:val="20"/>
        </w:rPr>
        <w:t xml:space="preserve">(c) Securities that have been defeased pursuant to Section 14.02 hereof; and </w:t>
      </w:r>
    </w:p>
    <w:p>
      <w:pPr>
        <w:pStyle w:val="TextBody"/>
        <w:bidi w:val="0"/>
        <w:spacing w:before="240" w:after="0"/>
        <w:jc w:val="left"/>
        <w:rPr>
          <w:rFonts w:ascii="Times New Roman" w:hAnsi="Times New Roman"/>
          <w:sz w:val="20"/>
        </w:rPr>
      </w:pPr>
      <w:r>
        <w:rPr>
          <w:rFonts w:ascii="Times New Roman" w:hAnsi="Times New Roman"/>
          <w:sz w:val="20"/>
        </w:rPr>
        <w:t xml:space="preserve">(d) Securities that have been paid, mutilated, destroyed, lost, or stolen and replaced pursuant to Section 2.09, or Securities in exchange for, in lieu of and in substitution for which other Securities shall have been authenticated and delivered pursuant to the terms of Section 2.07, unless proof satisfactory to the Trustee is presented that any such Securities are held by bona fide holders in due course. </w:t>
      </w:r>
    </w:p>
    <w:p>
      <w:pPr>
        <w:pStyle w:val="TextBody"/>
        <w:bidi w:val="0"/>
        <w:spacing w:before="240" w:after="0"/>
        <w:jc w:val="left"/>
        <w:rPr/>
      </w:pPr>
      <w:r>
        <w:rPr/>
        <w:t>“</w:t>
      </w:r>
      <w:r>
        <w:rPr>
          <w:rFonts w:ascii="Times New Roman" w:hAnsi="Times New Roman"/>
          <w:sz w:val="20"/>
        </w:rPr>
        <w:t xml:space="preserve">Periodic Offering” shall mean an offering of Securities of a series, from time to time, the specific terms of which (including, without limitation, the rate or rates of interest or formula for determining the rate or rates of interest thereon, if any, the maturity date or dates thereof and the redemption provisions, if any, with respect thereto) are to be determined by the Company upon the issuance of such Securities. </w:t>
      </w:r>
    </w:p>
    <w:p>
      <w:pPr>
        <w:pStyle w:val="TextBody"/>
        <w:bidi w:val="0"/>
        <w:spacing w:before="240" w:after="0"/>
        <w:jc w:val="left"/>
        <w:rPr/>
      </w:pPr>
      <w:r>
        <w:rPr/>
        <w:t>“</w:t>
      </w:r>
      <w:r>
        <w:rPr>
          <w:rFonts w:ascii="Times New Roman" w:hAnsi="Times New Roman"/>
          <w:sz w:val="20"/>
        </w:rPr>
        <w:t xml:space="preserve">Person” or “person” shall mean any individual, corporation, limited liability company, partnership, joint venture, association, joint stock company, trust, unincorporated organization or government or any agency or political subdivision thereof. </w:t>
      </w:r>
    </w:p>
    <w:p>
      <w:pPr>
        <w:pStyle w:val="TextBody"/>
        <w:bidi w:val="0"/>
        <w:spacing w:before="240" w:after="0"/>
        <w:jc w:val="left"/>
        <w:rPr/>
      </w:pPr>
      <w:r>
        <w:rPr/>
        <w:t>“</w:t>
      </w:r>
      <w:r>
        <w:rPr>
          <w:rFonts w:ascii="Times New Roman" w:hAnsi="Times New Roman"/>
          <w:sz w:val="20"/>
        </w:rPr>
        <w:t xml:space="preserve">Place of Payment,” when used with respect to the Securities of any series, means the place or places where, subject to the provisions of Section 4.02, the principal of (and premium, if any, on) and any interest on the Securities of that series are payable as specified as contemplated by Section 2.03. </w:t>
      </w:r>
    </w:p>
    <w:p>
      <w:pPr>
        <w:pStyle w:val="TextBody"/>
        <w:bidi w:val="0"/>
        <w:spacing w:before="240" w:after="0"/>
        <w:jc w:val="left"/>
        <w:rPr/>
      </w:pPr>
      <w:r>
        <w:rPr/>
        <w:t>“</w:t>
      </w:r>
      <w:r>
        <w:rPr>
          <w:rFonts w:ascii="Times New Roman" w:hAnsi="Times New Roman"/>
          <w:sz w:val="20"/>
        </w:rPr>
        <w:t xml:space="preserve">record date” as used with respect to any interest payment date shall have the meaning specified in Section 2.05. </w:t>
      </w:r>
    </w:p>
    <w:p>
      <w:pPr>
        <w:pStyle w:val="TextBody"/>
        <w:bidi w:val="0"/>
        <w:spacing w:before="240" w:after="0"/>
        <w:jc w:val="left"/>
        <w:rPr/>
      </w:pPr>
      <w:r>
        <w:rPr/>
        <w:t>“</w:t>
      </w:r>
      <w:r>
        <w:rPr>
          <w:rFonts w:ascii="Times New Roman" w:hAnsi="Times New Roman"/>
          <w:sz w:val="20"/>
        </w:rPr>
        <w:t xml:space="preserve">Registered Security” shall mean any Security established pursuant to Section 2.01 and Section 2.03 that is registered on the Security Register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Responsible Officer,” when used with respect to the Trustee, shall mean any officer within the Corporate Trust Office of the Trustee (or any successor group of the Trustee), including any Vice President, Assistant Vice President, Assistant Secretary or any other officer of the Trustee customarily performing functions similar to those performed by any of the above designated officers and also shall mean, with respect to a particular corporate trust matter, any other officer to whom such matter is referred because of such officer’s knowledge of and familiarity with the particular subject, and in each case, who has direct responsibility for the administration of this Indenture. </w:t>
      </w:r>
    </w:p>
    <w:p>
      <w:pPr>
        <w:pStyle w:val="TextBody"/>
        <w:bidi w:val="0"/>
        <w:spacing w:before="240" w:after="0"/>
        <w:jc w:val="left"/>
        <w:rPr/>
      </w:pPr>
      <w:r>
        <w:rPr/>
        <w:t>“</w:t>
      </w:r>
      <w:r>
        <w:rPr>
          <w:rFonts w:ascii="Times New Roman" w:hAnsi="Times New Roman"/>
          <w:sz w:val="20"/>
        </w:rPr>
        <w:t xml:space="preserve">Securities” shall have the meaning set forth in the preamble of this Indenture. </w:t>
      </w:r>
    </w:p>
    <w:p>
      <w:pPr>
        <w:pStyle w:val="TextBody"/>
        <w:bidi w:val="0"/>
        <w:spacing w:before="240" w:after="0"/>
        <w:jc w:val="left"/>
        <w:rPr/>
      </w:pPr>
      <w:r>
        <w:rPr/>
        <w:t>“</w:t>
      </w:r>
      <w:r>
        <w:rPr>
          <w:rFonts w:ascii="Times New Roman" w:hAnsi="Times New Roman"/>
          <w:sz w:val="20"/>
        </w:rPr>
        <w:t xml:space="preserve">Securities Act” shall mean the Securities Act of 1933, as amended. </w:t>
      </w:r>
    </w:p>
    <w:p>
      <w:pPr>
        <w:pStyle w:val="TextBody"/>
        <w:bidi w:val="0"/>
        <w:spacing w:before="240" w:after="0"/>
        <w:jc w:val="left"/>
        <w:rPr/>
      </w:pPr>
      <w:r>
        <w:rPr/>
        <w:t>“</w:t>
      </w:r>
      <w:r>
        <w:rPr>
          <w:rFonts w:ascii="Times New Roman" w:hAnsi="Times New Roman"/>
          <w:sz w:val="20"/>
        </w:rPr>
        <w:t xml:space="preserve">Security Register” and “Security Registrar” shall have the respective meanings set forth in Section 2.07(a) hereof. </w:t>
      </w:r>
    </w:p>
    <w:p>
      <w:pPr>
        <w:pStyle w:val="TextBody"/>
        <w:bidi w:val="0"/>
        <w:spacing w:before="240" w:after="0"/>
        <w:jc w:val="left"/>
        <w:rPr/>
      </w:pPr>
      <w:r>
        <w:rPr/>
        <w:t>“</w:t>
      </w:r>
      <w:r>
        <w:rPr>
          <w:rFonts w:ascii="Times New Roman" w:hAnsi="Times New Roman"/>
          <w:sz w:val="20"/>
        </w:rPr>
        <w:t xml:space="preserve">Senior Indebtedness” means the principal of, and premium, if any, and interest, including interest accruing after the commencement of any bankruptcy proceeding relating to the Company, on, or substantially similar payments the Company makes in respect of the following categories of debt, whether that debt was outstanding on the date of execution of this Indenture or thereafter incurred, created or assumed: (1) all indebtedness of the Company for borrowed money, whether or not evidenced by notes, debentures, bonds, securities or other similar instruments issued under the provisions of any indenture, fiscal agency agreement, debenture or note purchase agreement or other agreement, including any senior debt securities that may be offered; (2) indebtedness of the Company for money borrowed or represented by purchase money obligations, as defined below; (3) the Company’s obligations as lessee under leases of property whether made as part of a sale and leaseback transaction to which it is a party or otherwise; (4) reimbursement and other obligations relating to letters of credit, bankers’ acceptances and similar obligations and direct credit substitutes; (5) all obligations of the Company in respect of interest rate swap, cap or other agreements, interest rate future or option contracts, currency swap agreements, currency future or option contracts, commodity contracts and other similar arrangements; (6) all of the Company’s obligations issued or assumed as the deferred purchase price of property or services, but excluding trade accounts payable and accrued liabilities arising in the ordinary course of business; (7) any other obligation of the Company to its general creditors; (8) all obligations of the type referred to in clauses (1) through (7) of other persons for the payment of which the Company is liable contingently or otherwise to pay or advance money as obligor, guarantor, endorser or otherwise; (9) all obligations of the types referred to in clauses (1) through (8) of other persons secured by a lien on any property or asset of the Company; and (10) deferrals, renewals or extensions of any of the indebtedness or obligations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However, clauses (1) through (10) above exclude: (y) any indebtedness, obligation or liability that is subordinated to indebtedness, obligations or liabilities of the Company to substantially the same extent as or to a greater extent than the Securities are subordinated; and (z) the Securities and, unless expressly provided in the terms thereof, any indebtedness of the Company to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used above, the term “purchase money obligations” means indebtedness, obligations evidenced by a note, debenture, bond or other instrument, whether or not secured by a lien or other security interest, issued to evidence the obligation to pay or a guarantee of the payment of, and any deferred obligation for the payment of, the purchase price of property but excluding indebtedness or obligations for which recourse is limited to the property purchased, issued or assumed as all or a part of the consideration for the acquisition of property or services, whether by purchase, merger, consolidation or otherwise, but does not include any trade accounts payable as set forth in clause (6) above. </w:t>
      </w:r>
    </w:p>
    <w:p>
      <w:pPr>
        <w:pStyle w:val="TextBody"/>
        <w:bidi w:val="0"/>
        <w:spacing w:before="240" w:after="0"/>
        <w:jc w:val="left"/>
        <w:rPr/>
      </w:pPr>
      <w:r>
        <w:rPr/>
        <w:t>“</w:t>
      </w:r>
      <w:r>
        <w:rPr>
          <w:rFonts w:ascii="Times New Roman" w:hAnsi="Times New Roman"/>
          <w:sz w:val="20"/>
        </w:rPr>
        <w:t xml:space="preserve">series” or “series of Securities” means each series of debentures, notes or other debt instruments of the Company created pursuant to Sections 2.01 and 2.03. </w:t>
      </w:r>
    </w:p>
    <w:p>
      <w:pPr>
        <w:pStyle w:val="TextBody"/>
        <w:bidi w:val="0"/>
        <w:spacing w:before="240" w:after="0"/>
        <w:jc w:val="left"/>
        <w:rPr/>
      </w:pPr>
      <w:r>
        <w:rPr/>
        <w:t>“</w:t>
      </w:r>
      <w:r>
        <w:rPr>
          <w:rFonts w:ascii="Times New Roman" w:hAnsi="Times New Roman"/>
          <w:sz w:val="20"/>
        </w:rPr>
        <w:t xml:space="preserve">Subsidiary” shall mean, in respect of any Person, any corporation, association, partnership, limited liability company or other business entity of which more than 50% of the total voting power of shares of Capital Stock or other interests (including partnership interests) entitled (without regard to the occurrence of any contingency) to vote in the election of directors, managers or trustees thereof is at the time owned or controlled, directly or indirectly, by (a) such Person, (b) such Person and one or more Subsidiaries of such Person or (c) one or more Subsidiaries of such Person. </w:t>
      </w:r>
    </w:p>
    <w:p>
      <w:pPr>
        <w:pStyle w:val="TextBody"/>
        <w:bidi w:val="0"/>
        <w:spacing w:before="240" w:after="0"/>
        <w:jc w:val="left"/>
        <w:rPr/>
      </w:pPr>
      <w:r>
        <w:rPr/>
        <w:t>“</w:t>
      </w:r>
      <w:r>
        <w:rPr>
          <w:rFonts w:ascii="Times New Roman" w:hAnsi="Times New Roman"/>
          <w:sz w:val="20"/>
        </w:rPr>
        <w:t xml:space="preserve">Trust Indenture Act,” except as otherwise provided in this Indenture, shall mean the Trust Indenture Act of 1939, as amended, as in force at the date of this Indenture as originally executed. </w:t>
      </w:r>
    </w:p>
    <w:p>
      <w:pPr>
        <w:pStyle w:val="TextBody"/>
        <w:bidi w:val="0"/>
        <w:spacing w:before="240" w:after="0"/>
        <w:jc w:val="left"/>
        <w:rPr/>
      </w:pPr>
      <w:r>
        <w:rPr/>
        <w:t>“</w:t>
      </w:r>
      <w:r>
        <w:rPr>
          <w:rFonts w:ascii="Times New Roman" w:hAnsi="Times New Roman"/>
          <w:sz w:val="20"/>
        </w:rPr>
        <w:t xml:space="preserve">Trustee” shall mean the person identified as “Trustee” in the first paragraph hereof until the acceptance of appointment of a successor trustee pursuant to the provisions of Article 7, and thereafter shall mean such successor trustee. </w:t>
      </w:r>
    </w:p>
    <w:p>
      <w:pPr>
        <w:pStyle w:val="TextBody"/>
        <w:bidi w:val="0"/>
        <w:spacing w:before="240" w:after="0"/>
        <w:jc w:val="left"/>
        <w:rPr/>
      </w:pPr>
      <w:r>
        <w:rPr/>
        <w:t>“</w:t>
      </w:r>
      <w:r>
        <w:rPr>
          <w:rFonts w:ascii="Times New Roman" w:hAnsi="Times New Roman"/>
          <w:sz w:val="20"/>
        </w:rPr>
        <w:t xml:space="preserve">United States Alien” shall mean any person who, for United States federal income tax purposes, is a foreign corporation, a non-resident alien individual, a non-resident alien fiduciary of a foreign estate or trust, or a foreign partnership to the extent that one or more of its members is, for United States federal income tax purposes, a foreign corporation, a non-resident alien individual or a non-resident alien fiduciary of a foreign estate or trust. </w:t>
      </w:r>
    </w:p>
    <w:p>
      <w:pPr>
        <w:pStyle w:val="TextBody"/>
        <w:bidi w:val="0"/>
        <w:spacing w:before="240" w:after="0"/>
        <w:jc w:val="left"/>
        <w:rPr/>
      </w:pPr>
      <w:r>
        <w:rPr/>
        <w:t>“</w:t>
      </w:r>
      <w:r>
        <w:rPr>
          <w:rFonts w:ascii="Times New Roman" w:hAnsi="Times New Roman"/>
          <w:sz w:val="20"/>
        </w:rPr>
        <w:t xml:space="preserve">USA PATRIOT Act” shall have the meaning set forth in Section 15.12 hereof. </w:t>
      </w:r>
    </w:p>
    <w:p>
      <w:pPr>
        <w:pStyle w:val="TextBody"/>
        <w:bidi w:val="0"/>
        <w:spacing w:before="240" w:after="0"/>
        <w:jc w:val="left"/>
        <w:rPr/>
      </w:pPr>
      <w:r>
        <w:rPr/>
        <w:t>“</w:t>
      </w:r>
      <w:r>
        <w:rPr>
          <w:rFonts w:ascii="Times New Roman" w:hAnsi="Times New Roman"/>
          <w:sz w:val="20"/>
        </w:rPr>
        <w:t xml:space="preserve">Vice President” when used with respect to the Company or the Trustee shall mean any vice president, whether or not designated by a number or word or words added before or after the title “vice president,” including any Executive Vice President or Senior Vice President.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1.02. Incorporation by Reference of Trust Indenture Act. </w:t>
      </w:r>
      <w:r>
        <w:rPr>
          <w:rFonts w:ascii="Times New Roman" w:hAnsi="Times New Roman"/>
          <w:sz w:val="20"/>
        </w:rPr>
        <w:t xml:space="preserve">Whenever this Indenture refers to a provision of the Trust Indenture Act, such provision is hereby incorporated by reference in, and made a part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Trust Indenture Act terms used in this Indenture have the following meanings: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indenture securities</w:t>
      </w:r>
      <w:r>
        <w:rPr>
          <w:rFonts w:ascii="Times New Roman" w:hAnsi="Times New Roman"/>
          <w:sz w:val="20"/>
        </w:rPr>
        <w:t xml:space="preserve">” means the Securities; </w:t>
      </w:r>
    </w:p>
    <w:p>
      <w:pPr>
        <w:pStyle w:val="TextBody"/>
        <w:bidi w:val="0"/>
        <w:spacing w:before="240" w:after="0"/>
        <w:jc w:val="left"/>
        <w:rPr/>
      </w:pPr>
      <w:r>
        <w:rPr/>
        <w:t>“</w:t>
      </w:r>
      <w:r>
        <w:rPr>
          <w:rFonts w:ascii="Times New Roman" w:hAnsi="Times New Roman"/>
          <w:b/>
          <w:sz w:val="20"/>
        </w:rPr>
        <w:t>indenture security holder</w:t>
      </w:r>
      <w:r>
        <w:rPr>
          <w:rFonts w:ascii="Times New Roman" w:hAnsi="Times New Roman"/>
          <w:sz w:val="20"/>
        </w:rPr>
        <w:t xml:space="preserve">” means a Securityholder; </w:t>
      </w:r>
    </w:p>
    <w:p>
      <w:pPr>
        <w:pStyle w:val="TextBody"/>
        <w:bidi w:val="0"/>
        <w:spacing w:before="240" w:after="0"/>
        <w:jc w:val="left"/>
        <w:rPr/>
      </w:pPr>
      <w:r>
        <w:rPr/>
        <w:t>“</w:t>
      </w:r>
      <w:r>
        <w:rPr>
          <w:rFonts w:ascii="Times New Roman" w:hAnsi="Times New Roman"/>
          <w:b/>
          <w:sz w:val="20"/>
        </w:rPr>
        <w:t>indenture to be qualified</w:t>
      </w:r>
      <w:r>
        <w:rPr>
          <w:rFonts w:ascii="Times New Roman" w:hAnsi="Times New Roman"/>
          <w:sz w:val="20"/>
        </w:rPr>
        <w:t xml:space="preserve">” means this Indenture; </w:t>
      </w:r>
    </w:p>
    <w:p>
      <w:pPr>
        <w:pStyle w:val="TextBody"/>
        <w:bidi w:val="0"/>
        <w:spacing w:before="240" w:after="0"/>
        <w:jc w:val="left"/>
        <w:rPr/>
      </w:pPr>
      <w:r>
        <w:rPr/>
        <w:t>“</w:t>
      </w:r>
      <w:r>
        <w:rPr>
          <w:rFonts w:ascii="Times New Roman" w:hAnsi="Times New Roman"/>
          <w:b/>
          <w:sz w:val="20"/>
        </w:rPr>
        <w:t>indenture trustee</w:t>
      </w:r>
      <w:r>
        <w:rPr>
          <w:rFonts w:ascii="Times New Roman" w:hAnsi="Times New Roman"/>
          <w:sz w:val="20"/>
        </w:rPr>
        <w:t>” or “</w:t>
      </w:r>
      <w:r>
        <w:rPr>
          <w:rFonts w:ascii="Times New Roman" w:hAnsi="Times New Roman"/>
          <w:b/>
          <w:sz w:val="20"/>
        </w:rPr>
        <w:t>institutional trustee</w:t>
      </w:r>
      <w:r>
        <w:rPr>
          <w:rFonts w:ascii="Times New Roman" w:hAnsi="Times New Roman"/>
          <w:sz w:val="20"/>
        </w:rPr>
        <w:t xml:space="preserve">” means the Trustee; and </w:t>
      </w:r>
    </w:p>
    <w:p>
      <w:pPr>
        <w:pStyle w:val="TextBody"/>
        <w:bidi w:val="0"/>
        <w:spacing w:before="240" w:after="0"/>
        <w:jc w:val="left"/>
        <w:rPr/>
      </w:pPr>
      <w:r>
        <w:rPr/>
        <w:t>“</w:t>
      </w:r>
      <w:r>
        <w:rPr>
          <w:rFonts w:ascii="Times New Roman" w:hAnsi="Times New Roman"/>
          <w:b/>
          <w:sz w:val="20"/>
        </w:rPr>
        <w:t>obligor</w:t>
      </w:r>
      <w:r>
        <w:rPr>
          <w:rFonts w:ascii="Times New Roman" w:hAnsi="Times New Roman"/>
          <w:sz w:val="20"/>
        </w:rPr>
        <w:t xml:space="preserve">” on the indenture securities means the Company and any successor obligor upon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used in this Indenture that are defined by the Trust Indenture Act, defined by reference in the Trust Indenture Act to another statute or defined by Commission rule under the Trust Indenture Act and not otherwise defined herein, are used herein as so defined.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1.03. Rules of Construction. </w:t>
      </w:r>
      <w:r>
        <w:rPr>
          <w:rFonts w:ascii="Times New Roman" w:hAnsi="Times New Roman"/>
          <w:sz w:val="20"/>
        </w:rPr>
        <w:t xml:space="preserve">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(i) a term has the meaning assigned to it; </w:t>
      </w:r>
    </w:p>
    <w:p>
      <w:pPr>
        <w:pStyle w:val="TextBody"/>
        <w:bidi w:val="0"/>
        <w:spacing w:before="240" w:after="0"/>
        <w:jc w:val="left"/>
        <w:rPr>
          <w:rFonts w:ascii="Times New Roman" w:hAnsi="Times New Roman"/>
          <w:sz w:val="20"/>
        </w:rPr>
      </w:pPr>
      <w:r>
        <w:rPr>
          <w:rFonts w:ascii="Times New Roman" w:hAnsi="Times New Roman"/>
          <w:sz w:val="20"/>
        </w:rPr>
        <w:t xml:space="preserve">(ii) an accounting term not otherwise defined has the meaning assigned to it in accordance with generally accepted accounting principles as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(iii) references to “generally accepted accounting principles” shall mean generally accepted accounting principles in effect as of the time when and for the period as to which such accounting principles are to be applied; </w:t>
      </w:r>
    </w:p>
    <w:p>
      <w:pPr>
        <w:pStyle w:val="TextBody"/>
        <w:bidi w:val="0"/>
        <w:spacing w:before="240" w:after="0"/>
        <w:jc w:val="left"/>
        <w:rPr>
          <w:rFonts w:ascii="Times New Roman" w:hAnsi="Times New Roman"/>
          <w:sz w:val="20"/>
        </w:rPr>
      </w:pPr>
      <w:r>
        <w:rPr>
          <w:rFonts w:ascii="Times New Roman" w:hAnsi="Times New Roman"/>
          <w:sz w:val="20"/>
        </w:rPr>
        <w:t xml:space="preserve">(iv) “or” is not exclusive; and </w:t>
      </w:r>
    </w:p>
    <w:p>
      <w:pPr>
        <w:pStyle w:val="TextBody"/>
        <w:bidi w:val="0"/>
        <w:spacing w:before="240" w:after="0"/>
        <w:jc w:val="left"/>
        <w:rPr>
          <w:rFonts w:ascii="Times New Roman" w:hAnsi="Times New Roman"/>
          <w:sz w:val="20"/>
        </w:rPr>
      </w:pPr>
      <w:r>
        <w:rPr>
          <w:rFonts w:ascii="Times New Roman" w:hAnsi="Times New Roman"/>
          <w:sz w:val="20"/>
        </w:rPr>
        <w:t xml:space="preserve">(v) words in the singular include the plural, and words in the plural include the singular.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ISSUE, EXECUTION, REGISTRATION AND EXCHANGE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2.01. Amount Unlimited; Issuable in Series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execution of this Indenture, or from time to time thereafter, Securities up to the aggregate principal amount and containing terms and conditions from time to time authorized by or pursuant to a Board Resolution or in an indenture supplemental hereto or Officer’s Certificate, as set forth in Section 2.03, may be executed by the Company and delivered to the Trustee for authentication, and the Trustee shall thereupon authenticate and make available for delivery the Securities to or upon Company Order, without any further action by the Company but subject to the provisions of Section 2.03, and such Board Resolution, indenture supplemental hereto or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issued in one or more series. The aggregate principal amount of Securities of all series that may be authenticated and delivered and outstanding under this Indenture is not limited hereunder. The Securities of a particular series may be issued up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aggregate principal amount of Securities for such series from time to time authorized by or pursuant to a Board Resolution.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2.02. Form of Trustee</w:t>
      </w:r>
      <w:r>
        <w:rPr>
          <w:rFonts w:ascii="Times New Roman" w:hAnsi="Times New Roman"/>
          <w:sz w:val="20"/>
        </w:rPr>
        <w:t>’</w:t>
      </w:r>
      <w:r>
        <w:rPr>
          <w:rFonts w:ascii="Times New Roman" w:hAnsi="Times New Roman"/>
          <w:b/>
          <w:sz w:val="20"/>
        </w:rPr>
        <w:t>s Certificate of Authentication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form of the Trustee’s certificate of authentication to be borne by the Securities shall be in substantially the following form: </w:t>
      </w:r>
    </w:p>
    <w:p>
      <w:pPr>
        <w:pStyle w:val="TextBody"/>
        <w:bidi w:val="0"/>
        <w:spacing w:before="240" w:after="0"/>
        <w:jc w:val="left"/>
        <w:rPr>
          <w:rFonts w:ascii="Times New Roman" w:hAnsi="Times New Roman"/>
          <w:sz w:val="20"/>
        </w:rPr>
      </w:pPr>
      <w:r>
        <w:rPr>
          <w:rFonts w:ascii="Times New Roman" w:hAnsi="Times New Roman"/>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4"/>
        <w:gridCol w:w="102"/>
        <w:gridCol w:w="406"/>
        <w:gridCol w:w="102"/>
        <w:gridCol w:w="310"/>
        <w:gridCol w:w="102"/>
        <w:gridCol w:w="4599"/>
      </w:tblGrid>
      <w:tr>
        <w:trPr/>
        <w:tc>
          <w:tcPr>
            <w:tcW w:w="458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99" w:type="dxa"/>
            <w:tcBorders/>
            <w:vAlign w:val="center"/>
          </w:tcPr>
          <w:p>
            <w:pPr>
              <w:pStyle w:val="TableContents"/>
              <w:bidi w:val="0"/>
              <w:spacing w:before="0" w:after="283"/>
              <w:jc w:val="left"/>
              <w:rPr>
                <w:sz w:val="4"/>
                <w:szCs w:val="4"/>
              </w:rPr>
            </w:pPr>
            <w:r>
              <w:rPr>
                <w:sz w:val="4"/>
                <w:szCs w:val="4"/>
              </w:rPr>
            </w:r>
          </w:p>
        </w:tc>
      </w:tr>
      <w:tr>
        <w:trPr/>
        <w:tc>
          <w:tcPr>
            <w:tcW w:w="4584" w:type="dxa"/>
            <w:tcBorders/>
          </w:tcPr>
          <w:p>
            <w:pPr>
              <w:pStyle w:val="TableContents"/>
              <w:bidi w:val="0"/>
              <w:spacing w:before="0" w:after="283"/>
              <w:jc w:val="left"/>
              <w:rPr/>
            </w:pPr>
            <w:r>
              <w:rPr/>
              <w:t>Dated:</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11" w:type="dxa"/>
            <w:gridSpan w:val="3"/>
            <w:tcBorders/>
          </w:tcPr>
          <w:p>
            <w:pPr>
              <w:pStyle w:val="TableContents"/>
              <w:bidi w:val="0"/>
              <w:spacing w:before="0" w:after="283"/>
              <w:jc w:val="left"/>
              <w:rPr/>
            </w:pPr>
            <w:r>
              <w:rPr/>
              <w:t>[●], as Trustee</w:t>
            </w:r>
          </w:p>
        </w:tc>
      </w:tr>
      <w:tr>
        <w:trPr>
          <w:trHeight w:val="240" w:hRule="atLeast"/>
        </w:trPr>
        <w:tc>
          <w:tcPr>
            <w:tcW w:w="4584"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c>
          <w:tcPr>
            <w:tcW w:w="4701" w:type="dxa"/>
            <w:gridSpan w:val="2"/>
            <w:tcBorders/>
            <w:vAlign w:val="center"/>
          </w:tcPr>
          <w:p>
            <w:pPr>
              <w:pStyle w:val="TableContents"/>
              <w:bidi w:val="0"/>
              <w:spacing w:before="0" w:after="283"/>
              <w:jc w:val="left"/>
              <w:rPr>
                <w:sz w:val="4"/>
                <w:szCs w:val="4"/>
              </w:rPr>
            </w:pPr>
            <w:r>
              <w:rPr>
                <w:sz w:val="4"/>
                <w:szCs w:val="4"/>
              </w:rPr>
            </w:r>
          </w:p>
        </w:tc>
      </w:tr>
      <w:tr>
        <w:trPr/>
        <w:tc>
          <w:tcPr>
            <w:tcW w:w="458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599" w:type="dxa"/>
            <w:tcBorders>
              <w:bottom w:val="single" w:sz="2" w:space="0" w:color="000000"/>
            </w:tcBorders>
            <w:tcMar>
              <w:bottom w:w="28" w:type="dxa"/>
            </w:tcMar>
          </w:tcPr>
          <w:p>
            <w:pPr>
              <w:pStyle w:val="TableContents"/>
              <w:bidi w:val="0"/>
              <w:spacing w:before="0" w:after="283"/>
              <w:jc w:val="left"/>
              <w:rPr/>
            </w:pPr>
            <w:r>
              <w:rPr/>
              <w:t> </w:t>
            </w:r>
          </w:p>
        </w:tc>
      </w:tr>
      <w:tr>
        <w:trPr/>
        <w:tc>
          <w:tcPr>
            <w:tcW w:w="458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2.03. Form of Securities Generally; Establishment of Terms of Series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Registered Securities, if any, of each series, the temporary global Securities of each series, if any, and the permanent global Securities of each series, if any, shall be in the forms established from time to time in or pursuant to one or more Board Resolutions, indenture supplemental hereto or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issued in typewritten, printed or engraved form with such letters, numbers or other marks of identification or designation (including CUSIP numbers, if then generally in use)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stock exchange on which the Securities may be listed, or to conform to usage. </w:t>
      </w:r>
    </w:p>
    <w:p>
      <w:pPr>
        <w:pStyle w:val="TextBody"/>
        <w:bidi w:val="0"/>
        <w:spacing w:before="240" w:after="0"/>
        <w:jc w:val="left"/>
        <w:rPr>
          <w:rFonts w:ascii="Times New Roman" w:hAnsi="Times New Roman"/>
          <w:sz w:val="20"/>
        </w:rPr>
      </w:pPr>
      <w:r>
        <w:rPr>
          <w:rFonts w:ascii="Times New Roman" w:hAnsi="Times New Roman"/>
          <w:sz w:val="20"/>
        </w:rPr>
        <w:t xml:space="preserve">(b) At or prior to the initial issuance of Securities of any series, the particular terms of Securities of such series shall be established in or pursuant to one or more Board Resolutions , in an Officer’s Certificate (to which shall be attached true and correct copies of the relevant Board Resolution(s)) detailing such establishment) or established in an indenture supplemental hereto, including the following: </w:t>
      </w:r>
    </w:p>
    <w:p>
      <w:pPr>
        <w:pStyle w:val="TextBody"/>
        <w:bidi w:val="0"/>
        <w:spacing w:before="240" w:after="0"/>
        <w:jc w:val="left"/>
        <w:rPr>
          <w:rFonts w:ascii="Times New Roman" w:hAnsi="Times New Roman"/>
          <w:sz w:val="20"/>
        </w:rPr>
      </w:pPr>
      <w:r>
        <w:rPr>
          <w:rFonts w:ascii="Times New Roman" w:hAnsi="Times New Roman"/>
          <w:sz w:val="20"/>
        </w:rPr>
        <w:t xml:space="preserve">(1) the designation of the particular series (which shall distinguish such series from all other series); </w:t>
      </w:r>
    </w:p>
    <w:p>
      <w:pPr>
        <w:pStyle w:val="TextBody"/>
        <w:bidi w:val="0"/>
        <w:spacing w:before="240" w:after="0"/>
        <w:jc w:val="left"/>
        <w:rPr>
          <w:rFonts w:ascii="Times New Roman" w:hAnsi="Times New Roman"/>
          <w:sz w:val="20"/>
        </w:rPr>
      </w:pPr>
      <w:r>
        <w:rPr>
          <w:rFonts w:ascii="Times New Roman" w:hAnsi="Times New Roman"/>
          <w:sz w:val="20"/>
        </w:rPr>
        <w:t xml:space="preserve">(2) the price or prices (which may be expressed as a percentage of the aggregate principal amount of the Securities being issued) at which the Securities of the series will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the aggregate principal amount of such series that may be authenticated and delivered under this Indenture (except for Securities authenticated and delivered upon registration of transfer of, or in exchange for, or in lieu of, other Securities of the series pursuant to this Indenture and except for any Securities which, pursuant to Section 2.06, are deemed never to have been authenticated and delivered hereunder); </w:t>
      </w:r>
    </w:p>
    <w:p>
      <w:pPr>
        <w:pStyle w:val="TextBody"/>
        <w:bidi w:val="0"/>
        <w:spacing w:before="240" w:after="0"/>
        <w:jc w:val="left"/>
        <w:rPr>
          <w:rFonts w:ascii="Times New Roman" w:hAnsi="Times New Roman"/>
          <w:sz w:val="20"/>
        </w:rPr>
      </w:pPr>
      <w:r>
        <w:rPr>
          <w:rFonts w:ascii="Times New Roman" w:hAnsi="Times New Roman"/>
          <w:sz w:val="20"/>
        </w:rPr>
        <w:t xml:space="preserve">(4) whether Securities of the series are to be issuable as Registered Securities, whether any Securities of the series are to be issuable initially in temporary global form and, if so, the name of the Depositary with respect to any such temporary global Security, and whether any Securities of the series are to be issuable in permanent global form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2.07 and the name of the Depositary with respect to any such permanent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(5) the date as of which any temporary Security in global form representing Outstanding Securities of such series shall be dated, if other than the date of original issuance of the first Securities of the series to be issued; </w:t>
      </w:r>
    </w:p>
    <w:p>
      <w:pPr>
        <w:pStyle w:val="TextBody"/>
        <w:bidi w:val="0"/>
        <w:spacing w:before="240" w:after="0"/>
        <w:jc w:val="left"/>
        <w:rPr>
          <w:rFonts w:ascii="Times New Roman" w:hAnsi="Times New Roman"/>
          <w:sz w:val="20"/>
        </w:rPr>
      </w:pPr>
      <w:r>
        <w:rPr>
          <w:rFonts w:ascii="Times New Roman" w:hAnsi="Times New Roman"/>
          <w:sz w:val="20"/>
        </w:rPr>
        <w:t xml:space="preserve">(6) the person to whom any interest on any Registered Security of the series shall be payable, if other than the person in whose name that Security (or one or more predecessor Securities) is registered at the close of business on the regular record date for such interest, the extent to which, or the manner in which, any interest payable on a temporary global Security on an interest payment date will be paid if other than in the manner provided in Section 2.05 and the extent to which, or the manner in which, any interest payable on a permanent global Security on an interest payment date will be paid; </w:t>
      </w:r>
    </w:p>
    <w:p>
      <w:pPr>
        <w:pStyle w:val="TextBody"/>
        <w:bidi w:val="0"/>
        <w:spacing w:before="240" w:after="0"/>
        <w:jc w:val="left"/>
        <w:rPr>
          <w:rFonts w:ascii="Times New Roman" w:hAnsi="Times New Roman"/>
          <w:sz w:val="20"/>
        </w:rPr>
      </w:pPr>
      <w:r>
        <w:rPr>
          <w:rFonts w:ascii="Times New Roman" w:hAnsi="Times New Roman"/>
          <w:sz w:val="20"/>
        </w:rPr>
        <w:t xml:space="preserve">(7) the date or dates on which the principal of the Securities of such series is payable; </w:t>
      </w:r>
    </w:p>
    <w:p>
      <w:pPr>
        <w:pStyle w:val="TextBody"/>
        <w:bidi w:val="0"/>
        <w:spacing w:before="240" w:after="0"/>
        <w:jc w:val="left"/>
        <w:rPr>
          <w:rFonts w:ascii="Times New Roman" w:hAnsi="Times New Roman"/>
          <w:sz w:val="20"/>
        </w:rPr>
      </w:pPr>
      <w:r>
        <w:rPr>
          <w:rFonts w:ascii="Times New Roman" w:hAnsi="Times New Roman"/>
          <w:sz w:val="20"/>
        </w:rPr>
        <w:t xml:space="preserve">(8) the rate or rates, and if applicable the method used to determine the rate, at which the Securities of such series shall bear interest, if any, the date or dates from which such interest shall accrue, the date or dates on which such interest shall be payable and the record date or dates for the interest payable on any Registered Securities on any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(9) the place or places at which, subject to the provisions of Section 4.02, the principal of (and premium, if any, on) and any interest on Securities of such series shall be payable, any Registered Securities of the series may be surrendered for registration of transfer, Securities of the series may be surrendered for exchange and notices and demands to or upon the Company in respect of the Securities of the series and this Indenture may be served; </w:t>
      </w:r>
    </w:p>
    <w:p>
      <w:pPr>
        <w:pStyle w:val="TextBody"/>
        <w:bidi w:val="0"/>
        <w:spacing w:before="240" w:after="0"/>
        <w:jc w:val="left"/>
        <w:rPr>
          <w:rFonts w:ascii="Times New Roman" w:hAnsi="Times New Roman"/>
          <w:sz w:val="20"/>
        </w:rPr>
      </w:pPr>
      <w:r>
        <w:rPr>
          <w:rFonts w:ascii="Times New Roman" w:hAnsi="Times New Roman"/>
          <w:sz w:val="20"/>
        </w:rPr>
        <w:t xml:space="preserve">(10) any provisions relating to the redemption or purchase Securities of such series, at the option of the Company or at the option of a holder thereof, pursuant to any sinking fund or other redemption provisions, the period or periods within which, the price or prices at which and the terms and conditions upon which Securities of the series may be so redeemed or purchased, in whole or in part, and any notice requirements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if other than minimum denominations of $1,000 and any integral multiple thereof, the denominations in which any Registered Securities of such series shall be issuable; </w:t>
      </w:r>
    </w:p>
    <w:p>
      <w:pPr>
        <w:pStyle w:val="TextBody"/>
        <w:bidi w:val="0"/>
        <w:spacing w:before="240" w:after="0"/>
        <w:jc w:val="left"/>
        <w:rPr>
          <w:rFonts w:ascii="Times New Roman" w:hAnsi="Times New Roman"/>
          <w:sz w:val="20"/>
        </w:rPr>
      </w:pPr>
      <w:r>
        <w:rPr>
          <w:rFonts w:ascii="Times New Roman" w:hAnsi="Times New Roman"/>
          <w:sz w:val="20"/>
        </w:rPr>
        <w:t xml:space="preserve">(12) if other than the principal amount thereof, the portion of the principal amount of Securities of such series which shall be payable upon declaration of acceleration of the maturity thereof; </w:t>
      </w:r>
    </w:p>
    <w:p>
      <w:pPr>
        <w:pStyle w:val="TextBody"/>
        <w:bidi w:val="0"/>
        <w:spacing w:before="240" w:after="0"/>
        <w:jc w:val="left"/>
        <w:rPr>
          <w:rFonts w:ascii="Times New Roman" w:hAnsi="Times New Roman"/>
          <w:sz w:val="20"/>
        </w:rPr>
      </w:pPr>
      <w:r>
        <w:rPr>
          <w:rFonts w:ascii="Times New Roman" w:hAnsi="Times New Roman"/>
          <w:sz w:val="20"/>
        </w:rPr>
        <w:t xml:space="preserve">(13) the currency, currencies or currency units in which payment of the principal of (and premium, if any, on) and any interest on any Securities of the series shall be payable if other than the currency of the United States of America and the manner of determining the equivalent thereof in the currency of the United States of America for purposes of the definition of “Outstanding” in Section 1.01; </w:t>
      </w:r>
    </w:p>
    <w:p>
      <w:pPr>
        <w:pStyle w:val="TextBody"/>
        <w:bidi w:val="0"/>
        <w:spacing w:before="240" w:after="0"/>
        <w:jc w:val="left"/>
        <w:rPr>
          <w:rFonts w:ascii="Times New Roman" w:hAnsi="Times New Roman"/>
          <w:sz w:val="20"/>
        </w:rPr>
      </w:pPr>
      <w:r>
        <w:rPr>
          <w:rFonts w:ascii="Times New Roman" w:hAnsi="Times New Roman"/>
          <w:sz w:val="20"/>
        </w:rPr>
        <w:t xml:space="preserve">(14) if the principal of (and premium, if any, on) or any interest on the Securities of the series is to be payable, at the election of the Company or a holder thereof, in one or more currencies or currency units, other than that or those in which the Securities are stated to be payable, the currency or currencies in which payment of the principal of (and premium, if any, on) and any interest on Securities of such series as to which such election is made shall be payable, and the periods within which and the terms and conditions upon which such election is to be made; </w:t>
      </w:r>
    </w:p>
    <w:p>
      <w:pPr>
        <w:pStyle w:val="TextBody"/>
        <w:bidi w:val="0"/>
        <w:spacing w:before="240" w:after="0"/>
        <w:jc w:val="left"/>
        <w:rPr>
          <w:rFonts w:ascii="Times New Roman" w:hAnsi="Times New Roman"/>
          <w:sz w:val="20"/>
        </w:rPr>
      </w:pPr>
      <w:r>
        <w:rPr>
          <w:rFonts w:ascii="Times New Roman" w:hAnsi="Times New Roman"/>
          <w:sz w:val="20"/>
        </w:rPr>
        <w:t xml:space="preserve">(15) if the amount of payments of principal of (and premium, if any, on) or any interest on the Securities of the series may be determined with reference to an index, the manner in which such amounts shall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(16) whether the Securities will be issued in book-entry only form; </w:t>
      </w:r>
    </w:p>
    <w:p>
      <w:pPr>
        <w:pStyle w:val="TextBody"/>
        <w:bidi w:val="0"/>
        <w:spacing w:before="240" w:after="0"/>
        <w:jc w:val="left"/>
        <w:rPr>
          <w:rFonts w:ascii="Times New Roman" w:hAnsi="Times New Roman"/>
          <w:sz w:val="20"/>
        </w:rPr>
      </w:pPr>
      <w:r>
        <w:rPr>
          <w:rFonts w:ascii="Times New Roman" w:hAnsi="Times New Roman"/>
          <w:sz w:val="20"/>
        </w:rPr>
        <w:t xml:space="preserve">(17) any interest rate calculation agents, exchange rate calculation agents or other agents with respect to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(18) if either or both of Section 14.02 and Section 14.03 do not apply to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(19) whether and under what circumstances the Company will pay Additional Amounts in respect of any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(20) any provisions relating to the extension of maturity of, or the renewal of, Securities of such series, or the conversion of Securities of such series into other securities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(21) the terms and conditions, if any, pursuant to which the Securities of the series are secured; </w:t>
      </w:r>
    </w:p>
    <w:p>
      <w:pPr>
        <w:pStyle w:val="TextBody"/>
        <w:bidi w:val="0"/>
        <w:spacing w:before="240" w:after="0"/>
        <w:jc w:val="left"/>
        <w:rPr>
          <w:rFonts w:ascii="Times New Roman" w:hAnsi="Times New Roman"/>
          <w:sz w:val="20"/>
        </w:rPr>
      </w:pPr>
      <w:r>
        <w:rPr>
          <w:rFonts w:ascii="Times New Roman" w:hAnsi="Times New Roman"/>
          <w:sz w:val="20"/>
        </w:rPr>
        <w:t xml:space="preserve">(22) the subordination terms of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(23) any additional or modified Events of Default from those in this Indenture, and any change in the acceleration provisions in this Indenture, with respect to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(24) any additional or modified covenants from those in this Indenture with respect to the debt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(25) any other terms of the Securities or provisions relating to the payment of principal of, premium (if any), or interest thereon, including, but not limited to, whether such Securities are issuable at a discount or premium, as amortizable Securities, and if payable in, convertible or exchangeable for commodities or for the securities of the Company or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need not be issued at the same time and may be issued from time to time, consistent with the terms of this Indenture, if so provided by or pursuant to the Board Resolution or Officer’s Certificate referred to above or as set forth in an indenture supplemental hereto, and, unless otherwise provided, the authorized principal amount of any series may be increased to provide for issuances of additional Securities of such series. If so provided by or pursuant to the Board Resolution or Officer’s Certificate or supplemental indenture referred to above, the terms of such Securities to be issued from time to time may be determined as set forth in such Board Resolution, Officer’s Certificate or supplemental indenture, as the case may be. All Securities of any one series shall be substantially identical except as to denomination, interest rate, maturity and other similar terms and except as may be provided otherwise by or pursuant to such Board Resolution, Officer’s Certificate or supplemental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2.04. Securities in Global Form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Securities of a series are issuable in global form, as specified as contemplated by Section 2.03, then, notwithstanding clause (11) of Section 2.03(b) and the provisions of Section 2.05, any such Security in global form shall represent such of the Securities of such series Outstanding as shall be specified therein, and any such Security in global form may provide that it shall represent the aggregate amount of Securities Outstanding from time to time endorsed thereon and that the aggregate amount of Securities Outstanding represented thereby may from time to time be reduced to reflect any exchanges of beneficial interests in such Security in global form for Securities of such series as contemplated herein. Any endorsement of a Security in global form to reflect the amount, or any decrease in the amount, of Securities Outstanding represented thereby shall be made by the Trustee or the Security Registrar in such manner and upon instructions given by such person or persons as shall be specified in such Security in global form or in the Company Order to be delivered to the Trustee pursuant to Section 2.06 or Section 2.08. Subject to the provisions of Section 2.06 and, if applicable, Section 2.08, the Trustee or the Security Registrar shall deliver and redeliver any Security in permanent global form in the manner and upon instructions given by the person or persons specified in such Security in global form or in the applicable Company Order. If a Company Order pursuant to Section 2.06 or Section 2.08 has been, or simultaneously is, delivered, any instructions by the Company with respect to endorsement or delivery or redelivery of a Security in global form shall be in writing but need not be represented by a Company Order and need not be accompanied by an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last sentence of Section 2.06 shall apply to any Security represented by a Security in global form if such Security was never issued and sold by the Company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delivers to the Trustee or the Security Registrar the Security in global form together with written instructions (which need not be represented by a Company Order and need not be accompanied by an Opinion of Counsel) with regard to the reduction in the principal amount of Securities represented thereby, together with the written statement contemplated by the last sentence of Section 2.06.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Section 2.05, unless otherwise specified as contemplated by Section 2.03, payment of principal of and any premium and interest on any Security in permanent global form shall be made to the persons or persons specified therein.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2.05. Denominations; Record Date; Payment of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provided as contemplated by Section 2.03 with respect to any series of Securities, any Registered Securities of a series shall be issuable in minimum denominations of $1,000. </w:t>
      </w:r>
    </w:p>
    <w:p>
      <w:pPr>
        <w:pStyle w:val="TextBody"/>
        <w:bidi w:val="0"/>
        <w:spacing w:before="240" w:after="0"/>
        <w:jc w:val="left"/>
        <w:rPr>
          <w:rFonts w:ascii="Times New Roman" w:hAnsi="Times New Roman"/>
          <w:sz w:val="20"/>
        </w:rPr>
      </w:pPr>
      <w:r>
        <w:rPr>
          <w:rFonts w:ascii="Times New Roman" w:hAnsi="Times New Roman"/>
          <w:sz w:val="20"/>
        </w:rPr>
        <w:t xml:space="preserve">(b) The term “record date” as used with respect to an interest payment date for any series of a Registered Security shall mean such day or days as shall be specified as contemplated by Section 2.03; provided, that in the absence of any such provisions with respect to any series, such term shall mean (1) the last day of the calendar month next preceding such interest payment date if such interest payment date is the 15th day of a calendar month; or (2) the 15th day of a calendar month next preceding such interest payment date if such interest payment date is the first day of the calendar month.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as contemplated by Section 2.03 with respect to any series of Securities, the person in whose name any Registered Security is registered at the close of business on the record date with respect to an interest payment date shall be entitled to receive the interest payable on such interest payment date notwithstanding the cancellation of such Security upon any registration of transfer or exchange thereof subsequent to such record date prior to such interest payment date; provided, that if and to the extent the Company shall default in the payment of the interest due on such interest payment date, such defaulted interest shall be paid to the persons in whose names the Securities are registered on a subsequent record date established by notice given to the extent and in the manner set forth in Section 15.04 by or on behalf of the Company to the holders of Securities of the series in default not less than 15 days preceding such subsequent record date, such record date to be not less than five days preceding the date of payment of such defaulted interest, or in any other lawful manner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(c) Unless otherwise specified by Board Resolution or Company Order for a particular series of Securities, the principal of, redemption premium, if any, on and interest, if any, on the Securities of any series shall be payable at the office or agency of the Company maintained pursuant to Section 4.02 in a Place of Payment for such series, in Dollars; provided, that, at the option of the Company, payment of interest with respect to a Registered Security may be paid by check mailed to the holders of the Registered Securities entitled thereto at their last addresses as they appear on the Security Register or wired if held in book-entry form at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2.06. Execution, Authentication, Delivery and Dating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signed on behalf of the Company by its Chief Executive Officer, its President or one of its Vice Presidents. Such signatures may be the manual or facsimile signatures of such then current officers. </w:t>
      </w:r>
    </w:p>
    <w:p>
      <w:pPr>
        <w:pStyle w:val="TextBody"/>
        <w:bidi w:val="0"/>
        <w:spacing w:before="240" w:after="0"/>
        <w:jc w:val="left"/>
        <w:rPr>
          <w:rFonts w:ascii="Times New Roman" w:hAnsi="Times New Roman"/>
          <w:sz w:val="20"/>
        </w:rPr>
      </w:pPr>
      <w:r>
        <w:rPr>
          <w:rFonts w:ascii="Times New Roman" w:hAnsi="Times New Roman"/>
          <w:sz w:val="20"/>
        </w:rPr>
        <w:t xml:space="preserve">Any Security may be signed on behalf of the Company by such persons as, at the actual date of the execution of such Security, shall be the proper officers of the Company, although at the date of the execution of this Indenture any such person was not such officer. Securities bearing the manual or facsimile signatures of individuals who were, at the actual date of the execution of such Security, the proper officers of the Company shall bind the Company, notwithstanding that such individuals or any of them have ceased to hold such offices prior to the authentication and delivery of such Securities, as the case may be, or did not hold such offices at the date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Upon the execution and delivery of this Indenture, the Company shall deliver to the Trustee an Officer’s Certificate as to the incumbency and specimen signatures of officers authorized to execute and deliver the Securities and give instructions under this Section and, as long as Securities are Outstanding under this Indenture, such incumbency certificate shall be amended and replaced whenever an officer is to be added or deleted from the listing. The Trustee may conclusively rely on the documents delivered pursuant to this Section (unless revoked by superseding comparable documents) and Section 2.03 hereof as to the authorization of the Board of Directors of any Securities delivered hereunder, and the form and terms thereof, and as to the authority of the instructing officers referred to in this Section so to act.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at any time, and from time to time, authenticate Securities for original issue in an unlimited aggregate principal amount upon receipt by the Trustee of a Company Order; provided, that with respect to Securities of a series subject to a Periodic Offering, (a) such Company Order may be delivered to the Trustee prior to the delivery to the Trustee of such Securities for authentication and delivery, (b) the Trustee shall authenticate and deliver Securities of such series for original issue from time to time, in an aggregate principal amount not exceeding the aggregate principal amount, if any, established for such series, pursuant to a Company Order, and (c) the maturity date or dates, original issue date or dates, interest rate or rates and any other terms of Securities of such series shall be determined by Company Order or pursuant to such procedures. </w:t>
      </w:r>
    </w:p>
    <w:p>
      <w:pPr>
        <w:pStyle w:val="TextBody"/>
        <w:bidi w:val="0"/>
        <w:spacing w:before="240" w:after="0"/>
        <w:jc w:val="left"/>
        <w:rPr>
          <w:rFonts w:ascii="Times New Roman" w:hAnsi="Times New Roman"/>
          <w:sz w:val="20"/>
        </w:rPr>
      </w:pPr>
      <w:r>
        <w:rPr>
          <w:rFonts w:ascii="Times New Roman" w:hAnsi="Times New Roman"/>
          <w:sz w:val="20"/>
        </w:rPr>
        <w:t xml:space="preserve">Prior to the issuance of a Security of any new series, and the authentication thereof by the Trustee, the Trustee shall have received and (subject to Section 7.02) shall be fully protected in relying on: </w:t>
      </w:r>
    </w:p>
    <w:p>
      <w:pPr>
        <w:pStyle w:val="TextBody"/>
        <w:bidi w:val="0"/>
        <w:spacing w:before="240" w:after="0"/>
        <w:jc w:val="left"/>
        <w:rPr>
          <w:rFonts w:ascii="Times New Roman" w:hAnsi="Times New Roman"/>
          <w:sz w:val="20"/>
        </w:rPr>
      </w:pPr>
      <w:r>
        <w:rPr>
          <w:rFonts w:ascii="Times New Roman" w:hAnsi="Times New Roman"/>
          <w:sz w:val="20"/>
        </w:rPr>
        <w:t xml:space="preserve">(a) The Board Resolution or Officer’s Certificate or indenture supplemental hereto establishing the terms and the form of the Securities of that series pursuant to Section 2.01 and Section 2.03; </w:t>
      </w:r>
    </w:p>
    <w:p>
      <w:pPr>
        <w:pStyle w:val="TextBody"/>
        <w:bidi w:val="0"/>
        <w:spacing w:before="240" w:after="0"/>
        <w:jc w:val="left"/>
        <w:rPr>
          <w:rFonts w:ascii="Times New Roman" w:hAnsi="Times New Roman"/>
          <w:sz w:val="20"/>
        </w:rPr>
      </w:pPr>
      <w:r>
        <w:rPr>
          <w:rFonts w:ascii="Times New Roman" w:hAnsi="Times New Roman"/>
          <w:sz w:val="20"/>
        </w:rPr>
        <w:t xml:space="preserve">(b) An Officer’s Certificate stating that all conditions precedent provided for in this Indenture relating to the issuance, authentication and delivery of Securities in such form have been complied with;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 Opinion of Counsel stating that (i) the form and terms of such Securities have been established in conformity with the provisions of this Indenture, (ii) the Indenture and, if the authentication and delivery relates to a new series of Securities created by Board Resolution, indenture supplemental hereto or Officer’s Certificate, that such Board Resolution, indenture supplemental hereto or Officer’s Certificate, are the legal, valid and binding obligations of the Company enforceable against the Company in accordance with their terms, and (iii) such Securities, when executed and delivered by the Company to the Trustee for authentication in accordance with this Indenture, authenticated and delivered by the Trustee in accordance with this Indenture and issued by the Company, will constitute legal, valid and binding obligations of the Company, enforceable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Securities of a series offered in a Periodic Offering, the Trustee may rely, as to the authorization by the Company of any of such Securities, the form and terms thereof and the legality, validity, binding effect and enforceability thereof, upon the Opinion of Counsel and other documents delivered pursuant to this Section in connection with the first authentication of Securities of such series unless and until such Opinion of Counsel or other documents have been superseded or revoked. In connection with the authentication and delivery of Securities of a series subject to a Periodic Offering, the Trustee shall be entitled to assume that the Company’s instructions to authenticate and deliver such Securities do not violate any rules, regulations or orders of any governmental agency or commission having jurisdiction over the Company. </w:t>
      </w:r>
    </w:p>
    <w:p>
      <w:pPr>
        <w:pStyle w:val="TextBody"/>
        <w:bidi w:val="0"/>
        <w:spacing w:before="240" w:after="0"/>
        <w:jc w:val="left"/>
        <w:rPr>
          <w:rFonts w:ascii="Times New Roman" w:hAnsi="Times New Roman"/>
          <w:sz w:val="20"/>
        </w:rPr>
      </w:pPr>
      <w:r>
        <w:rPr>
          <w:rFonts w:ascii="Times New Roman" w:hAnsi="Times New Roman"/>
          <w:sz w:val="20"/>
        </w:rPr>
        <w:t xml:space="preserve">Each Registered Security shall be dated the date of its authentication except as otherwise provided by Board Resolution or Officer’s Certificate or indenture supplemental hereto.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Securities of any series outstanding at any time may not exceed any limit upon the maximum principal amount for such series set forth in or pursuant to the Board Resolution or Officer’s Certificate or indenture supplemental hereto delivered pursuant to Section 2.03, except as provided in Section 2.08. </w:t>
      </w:r>
    </w:p>
    <w:p>
      <w:pPr>
        <w:pStyle w:val="TextBody"/>
        <w:bidi w:val="0"/>
        <w:spacing w:before="240" w:after="0"/>
        <w:jc w:val="left"/>
        <w:rPr>
          <w:rFonts w:ascii="Times New Roman" w:hAnsi="Times New Roman"/>
          <w:sz w:val="20"/>
        </w:rPr>
      </w:pPr>
      <w:r>
        <w:rPr>
          <w:rFonts w:ascii="Times New Roman" w:hAnsi="Times New Roman"/>
          <w:sz w:val="20"/>
        </w:rPr>
        <w:t xml:space="preserve">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2.10 together with a written statement stating that such Security has never been issued and sold by the Company, for all purposes of this Indenture such Security shall be deemed never to have been authenticated and delivered hereunder and shall never be entitled to the benefits of this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2.07. Exchange and Registration of Transfer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keep at an office or agency to be designated and maintained by the Company in accordance with Section 4.02 (as such, a “Security Registrar”), registry books (the “Security Register”) in which, subject to such reasonable regulations as it may prescribe, the Company shall register Registered Securities and shall register the transfer of Registered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of each such series as provided in this Article 2. Such Security Register shall be in written form or in any other form capable of being converted into written form within a reasonable time. At all reasonable times such Security Register shall be open for inspection by the Trustee. Upon due presentment for registration of transfer of any Registered Security of a particular series at such office or agency maintained pursuant to Section 4.02 for such purpose in a Place of Payment, the Company shall execute and register and the Trustee, upon Company Order, shall authenticate and make available for delivery in the name of the transferee or transferees a new Registered Security or Registered Securities of such series of any authorized denominations and for an equal aggregate principal amount and tenor. </w:t>
      </w:r>
    </w:p>
    <w:p>
      <w:pPr>
        <w:pStyle w:val="TextBody"/>
        <w:bidi w:val="0"/>
        <w:spacing w:before="240" w:after="0"/>
        <w:jc w:val="left"/>
        <w:rPr>
          <w:rFonts w:ascii="Times New Roman" w:hAnsi="Times New Roman"/>
          <w:sz w:val="20"/>
        </w:rPr>
      </w:pPr>
      <w:r>
        <w:rPr>
          <w:rFonts w:ascii="Times New Roman" w:hAnsi="Times New Roman"/>
          <w:sz w:val="20"/>
        </w:rPr>
        <w:t xml:space="preserve">(b) At the option of the holder, Registered Securities of any series may be exchanged for other Registered Securities of the same series of any authorized denominations and of an equal aggregate principal amount and tenor. Registered Securities to be exchanged shall be surrendered at any such office or agency maintained pursuant to Section 4.02 for such purpose in a Place of Payment, and the Company shall execute and register and the Trustee, upon Company Order, shall authenticate and make available for delivery in exchange therefor the Security or Securities that the securityholder making the exchange shall be entitled to receive. </w:t>
      </w:r>
    </w:p>
    <w:p>
      <w:pPr>
        <w:pStyle w:val="TextBody"/>
        <w:bidi w:val="0"/>
        <w:spacing w:before="240" w:after="0"/>
        <w:jc w:val="left"/>
        <w:rPr>
          <w:rFonts w:ascii="Times New Roman" w:hAnsi="Times New Roman"/>
          <w:sz w:val="20"/>
        </w:rPr>
      </w:pPr>
      <w:r>
        <w:rPr>
          <w:rFonts w:ascii="Times New Roman" w:hAnsi="Times New Roman"/>
          <w:sz w:val="20"/>
        </w:rPr>
        <w:t xml:space="preserve">(c) 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All Registered Securities presented for registration of transfer or for exchange, redemption or payment, as the case may be, shall (if so required by the Company or the Trustee) be duly endorsed by, or be accompanied by a written instrument or instruments of transfer in form satisfactory to the Company and the Trustee or the Security Registrar duly executed by, the holder thereof or his or her attorney duly authorized in writing.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exchange or registration of transfer of Securities, but the Company may require payment of a sum sufficient to cover any tax or other governmental charge that may be imposed in connection therewith, other than exchanges pursuant to the terms of this Indenture not involving any transfer.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be required (1) to exchange or register the transfer of Securities of any series to be redeemed for a period of 15 days next preceding any selection of such Securities to be redeemed, or (2) to exchange or register the transfer of any Registered Security so selected, called or being called for redemption, except in the case of any such series to be redeemed in part the portion thereof not to be so redeemed.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the foregoing, except as otherwise specified as contemplated by Section 2.03, any permanent global Security shall be exchangeable pursuant to this Section only as provided in this paragraph. Except as otherwise specified as contemplated by Section 2.03, if the Securities of a series are represented by a Global Security and (i) the Depositary for such Global Security notifies the Company that it is unwilling or unable to continue as Depositary for such Global Security or if at any time such Depositary ceases to be a clearing agency registered under the Exchange Act, and, in either case, the Company fails to appoint a successor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registered as a clearing agency under the Exchange Act, or (ii) the Company elects to discontinue the use of the system of book-entry transfers through the Depositary, the Company will issue Securities of that series in definitive form in exchange for the Global Security. If the beneficial owners of interests in a permanent global Security are entitled to exchange such interests for Securities of such series and of like tenor and principal amount of another authorized form and denomination, as specified as contemplated by Section 2.03, then without unnecessary delay but in any event not later than the earliest date on which such interests may be so exchanged, the Company shall deliver to the Trustee or the Security Registrar definitive Securities of that series in aggregate principal amount equal to the principal amount of such permanent global Security executed by the Company. On or after the earliest date on which such interests may be so exchanged, in accordance with instructions given by the Company to the Trustee or the Security Registrar and the Depositary (which instructions shall be in writing), such permanent global Security shall be surrendered from time to time by the Depositary or such other depositary as shall be specified in the Company Order with respect thereto to the Trustee, as the Company’s agent for such purpose, or to the Security Registrar, to be exchanged, in whole or in part, for definitive Securities of the same series without charge and the Trustee shall authenticate and make available for delivery in accordance with such instructions, in exchange for each portion of such permanent global Security, a like aggregate principal amount of definitive Securities of the same series of authorized denominations and of like tenor as the portion of such permanent global Security to be exchanged which shall be in the form of Registered Securities; provided, that no such exchanges may occur for a period of 15 days next preceding any selection of Securities of that series and of like tenor for redemption. Promptly following any such exchange in part, such permanent global Security should be returned by the Trustee or the Security Registrar to the Depositary or such other depositary referred to above in accordance with the instructions of the Company referred to above. If a Registered Security is issued in exchange for any portion of a permanent global Security after the close of business at the office or agency where such exchange occurs on (i) any record date and before the opening of business at such office or agency on the relevant interest payment date, or (ii) any special record date and before the opening of business at such office or agency on the related proposed date for payment of defaulted interest as provided in Section 2.05,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contained herein to the contrary, neither the Trustee nor the Security Registrar shall be responsible for ascertaining whether any transfer complies with the restrictions set forth in this Indenture, the registration provisions of or exemptions from the Securities Act or applicable state securities laws.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2.08. Temporary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Pending the preparation of definitive Securities of any series, the Company may execute and the Trustee shall, upon Company Order, authenticate and make available for delivery, temporary Securities of such series (typewritten, printed, lithographed or otherwise produced).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temporary Securities, in any authorized denominations, shall be substantially in the form of the definitive Securities in lieu of which they are issued, in registered form, in the form approved from time to time by or pursuant to a Board Resolution, or Officer’s Certificate or indenture supplemental hereto but with such omissions, insertions, substitutions and other variations as may be appropriate for temporary Securities, all as may be determined by the Company, but not inconsistent with the terms of this Indenture or any provision of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Except in the case of temporary Securities in global form (which shall be exchanged as hereinafter provided),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maintained pursuant to Section 4.02 in a Place of Payment for such series for the purpose of exchanges of Securities of such series, without charge to the holder. Upon surrender for cancellation of any one or more temporary Securities of any series, the Company shall execute and the Trustee shall authenticate and make available for delivery in exchange therefor a like aggregate principal amount of definitive Securities of the same series and of like tenor of authorized denominations. </w:t>
      </w:r>
    </w:p>
    <w:p>
      <w:pPr>
        <w:pStyle w:val="TextBody"/>
        <w:bidi w:val="0"/>
        <w:spacing w:before="240" w:after="0"/>
        <w:jc w:val="left"/>
        <w:rPr>
          <w:rFonts w:ascii="Times New Roman" w:hAnsi="Times New Roman"/>
          <w:sz w:val="20"/>
        </w:rPr>
      </w:pPr>
      <w:r>
        <w:rPr>
          <w:rFonts w:ascii="Times New Roman" w:hAnsi="Times New Roman"/>
          <w:sz w:val="20"/>
        </w:rPr>
        <w:t xml:space="preserve">Without unnecessary delay but in any event not later than the date specified in, or determined pursuant to the terms of, any such temporary global Security of a series (the “Exchange Date”), the Company shall deliver to the Trustee definitive Securities of that series, in aggregate principal amount equal to the principal amount of such temporary global Security, executed by the Company. On or after the Exchange Date such temporary global Security shall be presented and surrendered by the Depositary to the Trustee, as the Company’s agent for such purpose, or to the Security Registrar, to be exchanged, in whole or from time to time in part, for definitive Securities of such series without charge, and the Trustee shall authenticate and make available for delivery, in exchange for each portion of such temporary global Security, a like aggregate principal amount of definitive Securities of the same series of authorized denominations and of like tenor as the portion of such temporary global Security to be exchanged. </w:t>
      </w:r>
    </w:p>
    <w:p>
      <w:pPr>
        <w:pStyle w:val="TextBody"/>
        <w:bidi w:val="0"/>
        <w:spacing w:before="240" w:after="0"/>
        <w:jc w:val="left"/>
        <w:rPr>
          <w:rFonts w:ascii="Times New Roman" w:hAnsi="Times New Roman"/>
          <w:sz w:val="20"/>
        </w:rPr>
      </w:pPr>
      <w:r>
        <w:rPr>
          <w:rFonts w:ascii="Times New Roman" w:hAnsi="Times New Roman"/>
          <w:sz w:val="20"/>
        </w:rPr>
        <w:t xml:space="preserve">Every temporary Security shall be executed by the Company and shall be authenticated by the Trustee upon the same conditions and in substantially the same manner, and with like effect, as the definitive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2.09. Mutilated, Destroyed, Lost or Stolen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mutilated Security is surrendered to the Trustee, the Company shall execute and the Trustee shall, upon Company Order, authenticate and make available for delivery in exchange therefor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there shall be delivered to the Company and the Trustee (a) evidence to their satisfaction of the destruction, loss or theft of any Security and (b) such security or indemnity as may be required by them to save each of them and any agent of either of them harmless, then, in the absence of notice to the Company or the Trustee that such Security has been acquired by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bona fide purchaser, the Company shall, subject to the following paragraph, execute and the Trustee shall authenticate and make available for delivery, in lieu of any such destroyed, lost or stolen Security,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In case any such mutilated, destroyed, lost or stolen Security has become or is about to become due and payable, the Company in its discretion may, instead of issuing a new Security, pay such Security.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any such new Security, if any, shall be entitled to all the benefits of this Indenture equally and proportionately with any and all other Securities of that series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are exclusive and shall preclude (to the extent lawful) all other rights and remedies with respect to the replacement or payment of mutilated, destroyed, lost or stolen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2.10. 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surrendered for payment, redemption, exchange or registration of transfer or for credit against any sinking fund payment, as the case may be, shall, if surrendered to the Company or any agent of the Company or of the Trustee, be delivered to the Trustee. All Registered Securities so delivered shall be promptly cancelled by the Trustee, upon written request of the Company. The Company may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provided by this Indenture. Any cancelled Securities held by the Trustee shall be disposed in accordance with its then customary procedures and, upon written request of the Company, the Trustee shall deliver to the Company a certificate of such disposal.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2.11. Book-Entry Only System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specified by the Company pursuant to Section 2.03 with respect to Securities represented by a Security in global form, a series of Securities may be issued initially in book-entry only form and, if issued in such form, shall be represented by one or more Securities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global form registered in the name of the Depositary or other depositary designated with respect thereto (or its nominee). So long as such system of registration is in effect, (a) Securities of such series so issued in book-entry only form will not be issuable in the form of or exchangeable for Securities in certificated or definitive registered form, (b) the records of the Depositary or such other depositary will be determinative for all purposes and (c) neither the Company, the Trustee nor any paying agent, Security Registrar or transfer agent for such Securities will have any responsibility or liability for (i) any aspect of the records relating to or payments made on account of owners of beneficial interests in the Securities of such series, (ii) maintaining, supervising or reviewing any records relating to such beneficial interests, (iii) receipt of notices, voting and requesting or directing the Trustee to take, or not to take, or consenting to, certain actions hereunder, or (iv) the records and procedures of the Depositary, or such other depositary, as the case may be.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3.01. Redemption of Securities, Applicability of Section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series of Securities or as set forth in the related Board Resolution, indenture supplemental hereto or Officer’s Certificate pursuant to which such Securities were established. Notwithstanding anything in this Indenture the contrary, if any provision with respect to the redemption of a series of Securities as provided for in such series of Securities or as set forth in the related Board Resolution, indenture supplemental hereto or Officer’s Certificate pursuant to which such Securities were established shall conflict with any provision of this Article 3, such Securities, Board Resolution, indenture supplemental hereto and/or Officer’s Certificate shall govern.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3.02. Notice of Redemption, Selection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for a particular series of Securities by Board Resolution, an indenture supplemental hereto or an Officer’s Certificate, at least 10 calendar days but not more than 60 calendar days before a redemption date, the Company will send in accordance with the applicable procedures of the Depositary (with a copy to the Trustee), or, if the Notes are not then global Securities, the Company will mail or cause to be mailed, a notice of redemption by first-class mail to each holder of Securities to be redeemed at such holder’s registered address appearing on the Security Register (with a copy to the Trustee). Notice given in such manner shall be conclusively presumed to have been duly given, whether or not the holder receives such notice. In any case, failure to give such notice or any defect in the notice to the holder of any such Security designated for redemption as a whole or in part shall not affect the validity of the proceedings for the redemption of any other such Security. If the Company requests the Trustee to give any notice of redemption, it shall make such request in writing in an Officer’s Certificate delivered to the Trustee at least three Business Days prior to the designated date for delivering such notice, unless a shorter period is satisfactory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such notice of redemption shall specify the date fixed for redemption, the redemption price at which such Securities are to be redeemed, the CUSIP numbers of such Securities, the Place of Payment where such Securities maturing after the date of redemption, are to be surrendered for payment of the redemption prices, that payment will be made upon presentation and surrender of such Securities, that interest accrued to the date fixed for redemption will be paid as specified in the notice, and that on and after the date interest thereon or on the portions thereof to be redeemed will cease to accrue unless the Company defaults in the payment of the redemption price. If less than all of a series is to be redeemed, the notice of redemption shall specify the identity of the particular Securities to be redeemed and the portion of the principal amount of any Security to be redeemed. In case any Security is to be redeemed in part only, the notice of redemption shall state that, upon surrender of such Security, a new Security or Securities of the same series in principal amount equal to the unredeemed portion thereof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On or before the redemption date specified in the notice of redemption given as provided in this Section, the Company will deposit in trust with the Trustee or with one or more paying agents an amount of money sufficient to redeem on the redemption date all the Securities or portions of Securities so called for redemption at the redemption price, together with accrued interest, if any, to the date fixed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the certificated Securities of a series are to be redeemed, the Trustee shall select, by lot or in such other manner is it shall deem appropriate and fair, not more than 60 days prior to the date of redemption, the numbers of such Securities Outstanding not previously called for redemption, to be redeemed in whole or in part. The portion of principal of Securities so selected for partial redemption shall be equal to the minimum authorized denomination for Securities of that series or any integral multiple thereof. The Trustee shall promptly notify the Company of the Securities to be redeemed. If, however, less than all the Securities of a series having differing issue dates, interest rates and stated maturities are to be redeemed, the Company in its sole discretion shall select the particular Securities of such series to be redeemed and shall notify the Trustee in writing at least 45 days prior to the relevant redemption date, unless a shorter period is satisfactory to the Trustee. Global Securities to be partially redeemed shall be selected in accordance with the applicable procedures of the relevant Depositary.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3.03. Payment of Securities Called for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notice of redemption has been given as above provided, subject to any applicable conditions, the Securities or portions of Securities with respect to which such notice has been given shall become due and payable on the date and at the place stated in such notice at the applicable redemption price, together with any interest accrued to, but excluding, the date fixed for redemption, and on and after that date (unless the Company shall default in the payment of such Securities at the redemption price, together with interest accrued to that date) interest on such Securities or portions of Securities so called for redemption shall cease to accrue. On presentation and surrender of such Securities subject to redemption at the Place of Payment and in the manner specified in such notice, such Securities or the specified portions thereof shall be paid and redeemed by the Company at the applicable redemption price, together with interest accrued thereon to, but excluding, the date fixed for redemption; provided, that unless otherwise specified as contemplated by Section 2.03, installments of interest on Registered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whose stated maturity date is on or prior to the date of redemption shall be payable to the holders of such Registered Securities, or one or more predecessor Securities, registered as such at the close of business on the relevant record dates according to their terms and the provisions of Section 2.05.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Company, payment with respect to Registered Securities may be made by check to the holders of such Securities or other persons entitled thereto against presentation and surrender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Security that is to be redeemed only in part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and upon such presentation, the Company shall execute and the Trustee shall authenticate and make available for delivery to the holder thereof, at the expense of the Company, a new Security or Securities of the same series, of authorized denominations, in aggregate principal amount equal to the unredeemed portion of the principal of the Security so presented. If a temporary global Security or permanent global Security is so surrendered, such new Security so issued shall be a new temporary global Security or permanent global Security, respectively.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3.04. Redemption Suspended During Event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pay any redemption price for the redemption of any Securities (unless all Securities then outstanding are to be redeemed) or commence the giving of any notice of redemption of Securities during the continuance of any Event of Default of which a Responsible Officer of the Trustee has actual knowledge or has received written notice thereof, except that where the giving of notice of redemption of any Securities shall theretofore have been made, the Trustee shall pay the redemption price for the redemption of such Securities, provided funds are deposited with it for such purpose. Except as aforesaid, any moneys theretofore or thereafter received by the Trustee shall, during the continuance of such Event of Default, be held in trust for the benefit of the securityholders and applied in the manner set forth in Section 6.06; provided, that in case such Event of Default shall have been waived as provided herein or otherwise cured, such moneys shall thereafter be held and applied in accordance with the provisions of this Article.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PARTICULAR COVENANTS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4.01. Payment of Principal, Premium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duly and punctually pay or cause to be paid the principal of (and premium, if any, on) and any interest on each of the Securities of a series at the place, at the respective times and in the manner provided in the terms of the Securities and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4.02. Offices for Notices and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Securities of a series are issuable only as Registered Securities, the Company will maintain in each Place of Payment for such series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give to the Trustee notice of the location of each such office or agency and of any change in the location thereof. In case the Company shall fail to maintain any such office or agency as required, or shall fail to give such notice of the location or of any change in the location thereof, presentations and surrenders of Securities of that series may be made and notices and demands may be served at the Corporate Trust Office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one or more other offices or agencies where the Securities of one or more series may be presented or surrendered for any or all such purposes and may from time to time rescind such designations; provided,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and the holders of any such designation or rescission and of any change in the location of any such other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initially designates the principal Corporate Trust Office of the Trustee as the office of the Company where Registered Securities may be presented for payment, for registration of transfer and for exchange as in this Indenture provided and where notices and demands to or upon the Company in respect of the Securities or of this Indenture may be served; provided, however, that the Trustee shall not be deemed an agent of the Company for service of legal process against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4.03. Provisions as to Paying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Whenever the Company shall appoint a paying agent other than the Trustee with respect to the Securities of any series, it will cause such paying agent to execute and deliver to the Trustee an instrument in which such agent shall agree with the Trustee, subject to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(1) that it will hold sums held by it as such agent for the payment of the principal of (and premium, if any, on) or any interest on the Securities of such series (whether such sums have been paid to it by the Company or by any other obligor on the Securities of such series) in trust for the benefit of the persons entitled thereto until such sums shall be paid to such persons or otherwise disposed of as herein provided and will notify the Trustee of the receipt of sums to be so held; </w:t>
      </w:r>
    </w:p>
    <w:p>
      <w:pPr>
        <w:pStyle w:val="TextBody"/>
        <w:bidi w:val="0"/>
        <w:spacing w:before="240" w:after="0"/>
        <w:jc w:val="left"/>
        <w:rPr>
          <w:rFonts w:ascii="Times New Roman" w:hAnsi="Times New Roman"/>
          <w:sz w:val="20"/>
        </w:rPr>
      </w:pPr>
      <w:r>
        <w:rPr>
          <w:rFonts w:ascii="Times New Roman" w:hAnsi="Times New Roman"/>
          <w:sz w:val="20"/>
        </w:rPr>
        <w:t xml:space="preserve">(2) that it will give the Trustee notice of any failure by the Company (or by any other obligor on the Securities of such series) to make any payment of the principal 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premium, if any, on) or any interest on the Securities of such series when the same shall be due and payable; and </w:t>
      </w:r>
    </w:p>
    <w:p>
      <w:pPr>
        <w:pStyle w:val="TextBody"/>
        <w:bidi w:val="0"/>
        <w:spacing w:before="240" w:after="0"/>
        <w:jc w:val="left"/>
        <w:rPr>
          <w:rFonts w:ascii="Times New Roman" w:hAnsi="Times New Roman"/>
          <w:sz w:val="20"/>
        </w:rPr>
      </w:pPr>
      <w:r>
        <w:rPr>
          <w:rFonts w:ascii="Times New Roman" w:hAnsi="Times New Roman"/>
          <w:sz w:val="20"/>
        </w:rPr>
        <w:t xml:space="preserve">(3) that at any time when any such failure has occurred and is continuing, it will, upon the written request of the Trustee, forthwith pay to the Trustee all sums so held in trust by such paying agent.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shall act as its own paying agent, it will, on or before each due date of the principal of (and premium, if any) or any interest on the Securities of any series, set aside, segregate and hold in trust for the benefit of the persons entitled thereto a sum sufficient to pay such principal (and premium, if any) or any interest so becoming due until such sums shall be paid to such persons or otherwise disposed of as herein provided. The Company will promptly notify the Trustee of any failure to take such action. </w:t>
      </w:r>
    </w:p>
    <w:p>
      <w:pPr>
        <w:pStyle w:val="TextBody"/>
        <w:bidi w:val="0"/>
        <w:spacing w:before="240" w:after="0"/>
        <w:jc w:val="left"/>
        <w:rPr>
          <w:rFonts w:ascii="Times New Roman" w:hAnsi="Times New Roman"/>
          <w:sz w:val="20"/>
        </w:rPr>
      </w:pPr>
      <w:r>
        <w:rPr>
          <w:rFonts w:ascii="Times New Roman" w:hAnsi="Times New Roman"/>
          <w:sz w:val="20"/>
        </w:rPr>
        <w:t xml:space="preserve">(c) Whenever the Company shall have one or more paying agents with respect to a series of Securities, it will, on or prior to each due date of the principal of (and premium, if any, on) or any interest on, any Securities, deposit with a paying agent a sum sufficient to pay the principal (and premium, if any) or any interest, so becoming due, such sum to be held in trust for the benefit of the Persons entitled to such principal, premium or interest, and (unless such paying agent is the Trustee) the Company will promptly notify the Trustee of its action or failure so to act. </w:t>
      </w:r>
    </w:p>
    <w:p>
      <w:pPr>
        <w:pStyle w:val="TextBody"/>
        <w:bidi w:val="0"/>
        <w:spacing w:before="240" w:after="0"/>
        <w:jc w:val="left"/>
        <w:rPr>
          <w:rFonts w:ascii="Times New Roman" w:hAnsi="Times New Roman"/>
          <w:sz w:val="20"/>
        </w:rPr>
      </w:pPr>
      <w:r>
        <w:rPr>
          <w:rFonts w:ascii="Times New Roman" w:hAnsi="Times New Roman"/>
          <w:sz w:val="20"/>
        </w:rPr>
        <w:t xml:space="preserve">(d) Anything in this Section to the contrary notwithstanding, the Company may, at any time, for the purpose of obtaining the satisfaction and discharge of this Indenture with respect to one or more or all series of Securities hereunder, or for any other reason, pay or cause to be paid to the Trustee all sums held in trust for such series by it or any paying agent hereunder as required by this Section, such sums to be held by the Trustee upon the trusts herein contained, and upon such payment by any paying agent to the Trustee, such paying agent shall be released from all further liability with respect to such money. </w:t>
      </w:r>
    </w:p>
    <w:p>
      <w:pPr>
        <w:pStyle w:val="TextBody"/>
        <w:bidi w:val="0"/>
        <w:spacing w:before="240" w:after="0"/>
        <w:jc w:val="left"/>
        <w:rPr>
          <w:rFonts w:ascii="Times New Roman" w:hAnsi="Times New Roman"/>
          <w:sz w:val="20"/>
        </w:rPr>
      </w:pPr>
      <w:r>
        <w:rPr>
          <w:rFonts w:ascii="Times New Roman" w:hAnsi="Times New Roman"/>
          <w:sz w:val="20"/>
        </w:rPr>
        <w:t xml:space="preserve">(e) Anything in this Section to the contrary notwithstanding, the agreement to hold sums in trust as provided in this Section is subject to the provisions of Section 12.03 and Section 12.04.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4.04. Statement as to Compliance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deliver to the Trustee, within 120 days after the end of each fiscal year of the Company, commencing with the fiscal year ending in the year during which the first series of Securities is issued hereunder (but in no event more than one year from the issuance of the first series hereunder), an Officer’s Certificate signed by the Chief Executive Officer, President or other principal executive officer or by the Chief Financial Officer or other principal financial officer or principal accounting officer, Assistant Secretary, Treasurer or Controller of the Company, stating, as to each signer thereof, that: </w:t>
      </w:r>
    </w:p>
    <w:p>
      <w:pPr>
        <w:pStyle w:val="TextBody"/>
        <w:bidi w:val="0"/>
        <w:spacing w:before="240" w:after="0"/>
        <w:jc w:val="left"/>
        <w:rPr>
          <w:rFonts w:ascii="Times New Roman" w:hAnsi="Times New Roman"/>
          <w:sz w:val="20"/>
        </w:rPr>
      </w:pPr>
      <w:r>
        <w:rPr>
          <w:rFonts w:ascii="Times New Roman" w:hAnsi="Times New Roman"/>
          <w:sz w:val="20"/>
        </w:rPr>
        <w:t xml:space="preserve">(a) a review of the activities of the Company during such year and of performance under this Indenture has been made under his or her supervision;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the best of his or her knowledge, based on such review, the Company has fulfilled all its obligations under this Indenture throughout such year, or, if there has been a default in the fulfillment of any such obligation, specifying each such default known to him and the nature and status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4.05. Corporate Existence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Article 11, the Company will do or cause to be done all things necessary to preserve and keep in full force and effect its corporate existence, rights (charter and statutory) and franchises and the corporate existence and rights (charter and statutory) and franchises of its Subsidiaries; provided, that the Company shall not be required to, or to cause any Subsidiary to, preserve any right or franchise or to keep in full force and effect the corporate existence of any Subsidiary if the Company shall determine that the keeping in existence or preservation thereof is no longer desirable in or consistent with the conduct of the business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4.06. Waiver of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omit in any particular instance to comply with any covenant or condition set forth herein if before or after the time for such compliance the holders of a majority in principal amount of the Securities of all series affected thereby then Outstanding shall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SECURITYHOLDER LISTS AND REPORTS BY THE COMPANY AND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5.01. Securityholder Lists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and agrees that it will furnish or cause to be furnished to the Trustee (1) semiannually, within 15 days before each record date when any Securities of a series are Outstanding, a list, in such form as the Trustee may reasonably require, of all information in the possession or control of the Company as to the names and addresses of the holders of such Registered Securities as of such date, and (2) at such other times as the Trustee may request in writing, within 10 days after receipt by the Company of any such request, a list, in such form as the Trustee may reasonably require, of all information in the possession or control of the Company as to the names and addresses of the holders of Registered Securities of a particular series specified by the Trustee as of a date not more than 15 days prior to the time such information is furnished; provided, that if and so long as the Trustee shall be the Security Registrar with respect to such series, such list shall not be required to be furnished.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5.02. Preservation and Disclosure of Lists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shall preserve, in as current a form as is reasonably practicable, all information as to the names and addresses of the holders of each series of Securities contained in the most recent list furnished to it as provided in Section 5.01 or received by the Trustee in its capacity as Security Registrar. The Trustee may destroy any list furnished to it as provided in Section 5.01 upon receipt of a new list so furnished. </w:t>
      </w:r>
    </w:p>
    <w:p>
      <w:pPr>
        <w:pStyle w:val="TextBody"/>
        <w:bidi w:val="0"/>
        <w:spacing w:before="240" w:after="0"/>
        <w:jc w:val="left"/>
        <w:rPr>
          <w:rFonts w:ascii="Times New Roman" w:hAnsi="Times New Roman"/>
          <w:sz w:val="20"/>
        </w:rPr>
      </w:pPr>
      <w:r>
        <w:rPr>
          <w:rFonts w:ascii="Times New Roman" w:hAnsi="Times New Roman"/>
          <w:sz w:val="20"/>
        </w:rPr>
        <w:t xml:space="preserve">(b) Securityholders may communicate as provided in Section 312(b) of the Trust Indenture Act with other securityholders with respect to their rights under this Indenture or under the Securities. The Company, the Trustee, the Security Registrar and anyone else shall have the protection of Section 312(c) of the Trust Indenture Act with respect to the sending of any material pursuant to a request made pursuant to Section 312(b) of the Trust Indenture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5.03. Reports by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furnish to the Trustee within 15 days after the filing by the Company with the Commission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The Company will be deemed to have furnished such reports referred to in this Section to the Trustee if the Company has filed such reports with the SEC via the EDGAR filing system (or any successor thereto) and such reports are publicly available.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5.04. Reports by the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promptly as practicable after each May 15 beginning with May 15, 20[__] and in any event prior to July 15 in each year, the Trustee shall transmit by mail or by electronic transmission to all securityholders, as their names and addresses appear on the register kept by the Registrar, a brief report dated as of May 15, each year if and to the extent required by TIA § 313(a). The Trustee shall also comply with TIA § 313(b) and TIA § 313(c). </w:t>
      </w:r>
    </w:p>
    <w:p>
      <w:pPr>
        <w:pStyle w:val="TextBody"/>
        <w:bidi w:val="0"/>
        <w:spacing w:before="240" w:after="0"/>
        <w:jc w:val="left"/>
        <w:rPr>
          <w:rFonts w:ascii="Times New Roman" w:hAnsi="Times New Roman"/>
          <w:sz w:val="20"/>
        </w:rPr>
      </w:pPr>
      <w:r>
        <w:rPr>
          <w:rFonts w:ascii="Times New Roman" w:hAnsi="Times New Roman"/>
          <w:sz w:val="20"/>
        </w:rPr>
        <w:t xml:space="preserve">A copy of each report at the time of its sending to securityholders of any series shall be filed with the Commission and each stock exchange (if any) on which the Securities of that series are listed. The Company shall promptly notify the Trustee when Securities of any series are listed on any stock exchange and of any delisting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REMEDIES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6.01. Events of Default; Acceleration of Maturity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one or more of the following events (each an “Event of Default”) with respect to a particular series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(a) default in (i) the payment of the principal of (or premium, if any, on) any of the Securities of such series as and when the same shall become due and payable either at maturity,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redemption, by declaration or otherwise or (ii) any payment required by any sinking or analogous fund established with respect to that series; </w:t>
      </w:r>
    </w:p>
    <w:p>
      <w:pPr>
        <w:pStyle w:val="TextBody"/>
        <w:bidi w:val="0"/>
        <w:spacing w:before="240" w:after="0"/>
        <w:jc w:val="left"/>
        <w:rPr>
          <w:rFonts w:ascii="Times New Roman" w:hAnsi="Times New Roman"/>
          <w:sz w:val="20"/>
        </w:rPr>
      </w:pPr>
      <w:r>
        <w:rPr>
          <w:rFonts w:ascii="Times New Roman" w:hAnsi="Times New Roman"/>
          <w:sz w:val="20"/>
        </w:rPr>
        <w:t xml:space="preserve">(b) default in the payment of any installment of interest upon any of the Securities of such series as and when the same shall become due and payable, and continuance of such default for a period of 90 days; </w:t>
      </w:r>
    </w:p>
    <w:p>
      <w:pPr>
        <w:pStyle w:val="TextBody"/>
        <w:bidi w:val="0"/>
        <w:spacing w:before="240" w:after="0"/>
        <w:jc w:val="left"/>
        <w:rPr>
          <w:rFonts w:ascii="Times New Roman" w:hAnsi="Times New Roman"/>
          <w:sz w:val="20"/>
        </w:rPr>
      </w:pPr>
      <w:r>
        <w:rPr>
          <w:rFonts w:ascii="Times New Roman" w:hAnsi="Times New Roman"/>
          <w:sz w:val="20"/>
        </w:rPr>
        <w:t xml:space="preserve">(c) failure on the part of the Company duly to observe or perform any other of the covenants or agreements on the part of the Company contained in the Securities or in this Indenture for a period of 90 days after the date on which written notice of such failure, requiring the Company to remedy the same, shall have been given to the Company by the Trustee, or to the Company and the Trustee by the holders of at least 25% in aggregate principal amount of the Securities of that series at the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(d) a court having jurisdiction in the premises shall enter a decree or order for relief in respect of the Company or the Material Subsidiary in an involuntary case or proceeding under any applicable bankruptcy, insolvency or other similar law now or hereafter in effect, or appointing a receiver, liquidator, assignee, custodian, trustee, sequestrator (or similar official) of the Company or any Material Subsidiary or for any substantial part of their respective property, or ordering the winding-up or liquidation of its affairs and such decree or order shall remain unstayed and in effect for a period of 60 consecutive days; </w:t>
      </w:r>
    </w:p>
    <w:p>
      <w:pPr>
        <w:pStyle w:val="TextBody"/>
        <w:bidi w:val="0"/>
        <w:spacing w:before="240" w:after="0"/>
        <w:jc w:val="left"/>
        <w:rPr>
          <w:rFonts w:ascii="Times New Roman" w:hAnsi="Times New Roman"/>
          <w:sz w:val="20"/>
        </w:rPr>
      </w:pPr>
      <w:r>
        <w:rPr>
          <w:rFonts w:ascii="Times New Roman" w:hAnsi="Times New Roman"/>
          <w:sz w:val="20"/>
        </w:rPr>
        <w:t xml:space="preserve">(e) the Company or the Material Subsidiary shall commence a voluntary case or proceeding under any applicable bankruptcy, insolvency or other similar law now or hereafter in effect, or shall consent to the entry of a decree or order for relief in an involuntary case or proceeding under any such law, or shall consent to the appointment of or taking possession by a receiver, liquidator, assignee, trustee, custodian, sequestrator (or similar official) of the Company or the Material Subsidiary or for any substantial part of their respective property, or shall make any general assignment for the benefit of creditors; or </w:t>
      </w:r>
    </w:p>
    <w:p>
      <w:pPr>
        <w:pStyle w:val="TextBody"/>
        <w:bidi w:val="0"/>
        <w:spacing w:before="240" w:after="0"/>
        <w:jc w:val="left"/>
        <w:rPr>
          <w:rFonts w:ascii="Times New Roman" w:hAnsi="Times New Roman"/>
          <w:sz w:val="20"/>
        </w:rPr>
      </w:pPr>
      <w:r>
        <w:rPr>
          <w:rFonts w:ascii="Times New Roman" w:hAnsi="Times New Roman"/>
          <w:sz w:val="20"/>
        </w:rPr>
        <w:t xml:space="preserve">(f) any other Event of Default provided with respect to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then, if an Event of Default described in clause (a), (b), (c), or (f) shall have occurred and be continuing, and in each and every such case, unless the principal amount of all the Securities of such series shall have already become due and payable, either the Trustee or the holders of not less than 25% in aggregate principal amount of the Securities of that series then Outstanding hereunder, by notice in writing to the Company (and to the Trustee if given by securityholders) may declare the principal amount of all the Securities (or, with respect to Original Issue Discount Securities, such lesser amount as may be specified in the terms of such Securities) of that series to be due and payable immediately, and upon any such declaration the same shall become and shall be immediately due and payable, anything in this Indenture or in the Securities of such series contained to the contrary notwithstanding; or, if an Event of Default described in clause (d) or (e) shall have occurred and be continuing, the principal amount of all the Securities of that series then Outstanding hereunder, shall be due and payable immediately without declaration or other act on the part of the Trustee or any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6.02. Rescission and Annulment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in Section 6.01 are subject to the condition that if, at any time after the principal of the Securities of any one or more of all series, as the case may be, shall have been so declared due and payable, and before any judgment or decree for the payment of the moneys due shall have been obtained or entered as hereinafter provided, the holders of a majority in aggregate principal amount of the Securities of such series (or of all the Securities, as the case may be) then Outstanding, by written notice to the Company and to the Trustee, may, subject to Section 6.13, waive all defaults with respect to that series or with respect to all Securities, as the case may be in such case, treated as a single class and rescind and annul such declaration and its consequences only if (1) the Company has paid or deposited with the Trustee a sum sufficient to pay (i) all overdue installments of interest upon all the Securities of such series or of all the Securities, as the case may be, and the (ii) principal of (and premium, if any, on) all Securities of such series or of all the Securities, as the case may be (or, with respect to Original Issue Discount Securities, such lesser amount as may be specified in the terms of such Securities), which shall have become due otherwise than by acceleration (with interest upon such principal and premium, if any) and, to the extent permitted by applicable law, interest thereon at the applicable rate of interest borne by such Securities and (iii) to the extent that payment of such interest is permitted by applicable law, interest on overdue installments of interest, if any, which shall have become due otherwise than by acceleration, at the same rate as the rate of interest specified in the Securities of such series or all Securities, as the case may be (or, with respect to Original Issue Discount Securities, at the rate specified in the terms of such Securities for interest on overdue principal thereof upon maturity, redemption or acceleration of such series,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its gross negligence or willful misconduct, and (2) any and all Events of Default with respect to the Securities of such series (or of all the Securities, as the case may be) then Outstanding, other than the non-payment of the principal of, or any premium and interest on the Securities that has become due by acceleration, shall have been waived or remedied as provided in this Indenture. No such waiver or rescission and annulment shall extend to or shall affect any subsequent default or shall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In case the Trustee shall have proceeded to enforce any right under this Indenture and such proceedings shall have been discontinued or abandoned because of such rescission and annulment or for any other reason or shall have been determined adversely to the Trustee, then and in every such case the Company, the Trustee and the securityholders, as the case may be, shall be restored respectively to their former positions and rights hereunder, and all rights, remedies and powers of the Company, the Trustee and the securityholders, as the case may be, shall continue as though no such proceedings had been taken.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6.03. Collection of Indebtedness and Suits for Enforcement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that if </w:t>
      </w:r>
    </w:p>
    <w:p>
      <w:pPr>
        <w:pStyle w:val="TextBody"/>
        <w:bidi w:val="0"/>
        <w:spacing w:before="240" w:after="0"/>
        <w:jc w:val="left"/>
        <w:rPr>
          <w:rFonts w:ascii="Times New Roman" w:hAnsi="Times New Roman"/>
          <w:sz w:val="20"/>
        </w:rPr>
      </w:pPr>
      <w:r>
        <w:rPr>
          <w:rFonts w:ascii="Times New Roman" w:hAnsi="Times New Roman"/>
          <w:sz w:val="20"/>
        </w:rPr>
        <w:t xml:space="preserve">(a) default is made in the payment of any installment of interest on any Security when such interest becomes due and payable and such default continues for a period of 90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default is made in the payment of the principal or premium, if any, of any Security at the maturity thereof, including any maturity occurring by reason of a call for redemption or otherwise, the Company will, upon demand of the Trustee, pay to it, for the benefit of the holders of such Securities, the whole amount that shall have become due and payable on such Securities for principal or premium, if any, and interest, with interest upon the overdue principal and, to the extent that payment of such interest shall be legally enforceable, upon overdue installments of interest, at the rate borne by such Securities; and, in addition thereto, such further amount as shall be sufficient to cover the costs and expenses of collection, including the reasonable compensation, expenses, disbursements and advances of the Trustee, its agents and counsel, or </w:t>
      </w:r>
    </w:p>
    <w:p>
      <w:pPr>
        <w:pStyle w:val="TextBody"/>
        <w:bidi w:val="0"/>
        <w:spacing w:before="240" w:after="0"/>
        <w:jc w:val="left"/>
        <w:rPr>
          <w:rFonts w:ascii="Times New Roman" w:hAnsi="Times New Roman"/>
          <w:sz w:val="20"/>
        </w:rPr>
      </w:pPr>
      <w:r>
        <w:rPr>
          <w:rFonts w:ascii="Times New Roman" w:hAnsi="Times New Roman"/>
          <w:sz w:val="20"/>
        </w:rPr>
        <w:t xml:space="preserve">(c) default is made in the deposit of any sinking fund payment when and as due by the terms of a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fails to pay such amounts forthwith upon such demand, the Trustee, in its own name and as trustee of an express trust, may institute a judicial proceeding for the collection of the sums so due and unpaid, and may prosecute such proceedings to judgment or final decree, and may enforce the same against the Company or any other obligor upon the Securities and collect the moneys adjudged or decreed to be payable in the manner provided by law out of the property of the Company or any other obligor upon the Securities,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the Trustee may in its discretion proceed to protect and enforce its rights and the rights of the securityholders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6.04. Trustee May File Proofs of Claim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the pendency of a receivership, insolvency, liquidation, bankruptcy, reorganization, arrangement, adjustment, composition or other judicial proceeding relative to the Company or any other obligor upon the Securities or the property of the Company or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to file and prove a claim for the whole amount of principal and premium, if any, and any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of Securities allowed in such judicial proceeding;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collect and receive any moneys or other property payable or deliverable on any such claims and to distribute the same; and any receiver, assignee, trustee, liquidator or sequestrator (or other similar official) in any such judicial proceeding is hereby authorized by each holder of Securities to make such payments to the Trustee, and in the event that the Trustee shall consent to the making of such payments directly to the holders of Securities, to pay to the Trustee any amount due to it for the reasonable compensation, expenses, disbursements and advances of the Trustee, its agents and counsel, and any other amounts due the Trustee under Section 7.06. To the extent that such payment of reasonable compensation, expenses, disbursements, advances and other amounts out of the estate in any such proceedings shall be denied for any reason, payment of the same shall be secured by a lien on, and shall be paid out of, any and all distributions, dividends, moneys, securities and other property which the holders of the Securities may be entitled to receive in such proceedings, whether in liquidation or under any plan or reorganization or arrangements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contained shall be deemed to authorize the Trustee to authorize or consent to or accept or adopt on behalf of the holder of a Security any plan of reorganization, arrangement, adjustment or composition affecting the Securities or the rights of any holder thereof, or to authorize the Trustee to vote in respect of the claim of any holder of a Security in any such proceeding.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6.05. Trustee May Enforce Claims Without Possession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Securities in respect of which such judgment has been recovered.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6.06. Application of Money Collected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 collected by the Trustee pursuant to this Article shall be applied in the following order, at the date or dates fixed by the Trustee and, in case of the distribution of such money on account of principal or premium, if any, or any interest, upon presentation of the Securities, as the case may be, and the notation thereon of the payment if only partially paid and upon surrender thereof if fully paid: </w:t>
      </w:r>
    </w:p>
    <w:p>
      <w:pPr>
        <w:pStyle w:val="TextBody"/>
        <w:bidi w:val="0"/>
        <w:spacing w:before="120" w:after="0"/>
        <w:jc w:val="left"/>
        <w:rPr>
          <w:rFonts w:ascii="Times New Roman" w:hAnsi="Times New Roman"/>
          <w:sz w:val="20"/>
        </w:rPr>
      </w:pPr>
      <w:r>
        <w:rPr>
          <w:rFonts w:ascii="Times New Roman" w:hAnsi="Times New Roman"/>
          <w:sz w:val="20"/>
        </w:rPr>
        <w:t xml:space="preserve">FIRST: To the payment of all amounts due the Trustee under Section 7.06 or 14.05;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all Senior Indebtedness of the Company if and to the extent required by Article 16; </w:t>
      </w:r>
    </w:p>
    <w:p>
      <w:pPr>
        <w:pStyle w:val="TextBody"/>
        <w:bidi w:val="0"/>
        <w:spacing w:before="240" w:after="0"/>
        <w:jc w:val="left"/>
        <w:rPr>
          <w:rFonts w:ascii="Times New Roman" w:hAnsi="Times New Roman"/>
          <w:sz w:val="20"/>
        </w:rPr>
      </w:pPr>
      <w:r>
        <w:rPr>
          <w:rFonts w:ascii="Times New Roman" w:hAnsi="Times New Roman"/>
          <w:sz w:val="20"/>
        </w:rPr>
        <w:t xml:space="preserve">THIRD: To the payment of the amounts then due and unpaid upon the Securities for principal of and premium, if any, and any interest on the Securities, in respect of which or for the benefit of which such money has been collected, ratably, without preference or priority of any kind, according to the amounts due and payable on such Securities, for principal and any interest, respectively;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FOURTH: To the Company or its successors or assigns, or to whomsoever may be lawfully entitled to receive the same.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6.07. 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Security of any series shall have any right to institute any proceeding, judicial or otherwise, with respect to this Indenture, or for the appointment of a receiver or trustee, or for any other remedy hereunder, unless: </w:t>
      </w:r>
    </w:p>
    <w:p>
      <w:pPr>
        <w:pStyle w:val="TextBody"/>
        <w:bidi w:val="0"/>
        <w:spacing w:before="120" w:after="0"/>
        <w:jc w:val="left"/>
        <w:rPr>
          <w:rFonts w:ascii="Times New Roman" w:hAnsi="Times New Roman"/>
          <w:sz w:val="20"/>
        </w:rPr>
      </w:pPr>
      <w:r>
        <w:rPr>
          <w:rFonts w:ascii="Times New Roman" w:hAnsi="Times New Roman"/>
          <w:sz w:val="20"/>
        </w:rPr>
        <w:t xml:space="preserve">(1) such holder has previously given written notice to the Trustee of a continuing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(2) the holders of not less than 25% in principal amount of the Outstanding Securities of that series shall have made written request to the Trustee to institute proceedings in respect of such Event of Default in its own name as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(3) such holder or holders have offered to the Trustee indemnity against the costs, expenses and liabilities to be incurred in compliance with such request; </w:t>
      </w:r>
    </w:p>
    <w:p>
      <w:pPr>
        <w:pStyle w:val="TextBody"/>
        <w:bidi w:val="0"/>
        <w:spacing w:before="240" w:after="0"/>
        <w:jc w:val="left"/>
        <w:rPr>
          <w:rFonts w:ascii="Times New Roman" w:hAnsi="Times New Roman"/>
          <w:sz w:val="20"/>
        </w:rPr>
      </w:pPr>
      <w:r>
        <w:rPr>
          <w:rFonts w:ascii="Times New Roman" w:hAnsi="Times New Roman"/>
          <w:sz w:val="20"/>
        </w:rPr>
        <w:t xml:space="preserve">(4) the Trustee for 60 days after its receipt of such notice, request and offer of indemnity has failed to institute any such proceedings; and </w:t>
      </w:r>
    </w:p>
    <w:p>
      <w:pPr>
        <w:pStyle w:val="TextBody"/>
        <w:bidi w:val="0"/>
        <w:spacing w:before="240" w:after="0"/>
        <w:jc w:val="left"/>
        <w:rPr>
          <w:rFonts w:ascii="Times New Roman" w:hAnsi="Times New Roman"/>
          <w:sz w:val="20"/>
        </w:rPr>
      </w:pPr>
      <w:r>
        <w:rPr>
          <w:rFonts w:ascii="Times New Roman" w:hAnsi="Times New Roman"/>
          <w:sz w:val="20"/>
        </w:rPr>
        <w:t xml:space="preserve">(5) no direction inconsistent with such written request has been given to the Trustee during such 60-day period by the holders of a majority in aggregate principal amount of the Outstanding Securities; </w:t>
      </w:r>
    </w:p>
    <w:p>
      <w:pPr>
        <w:pStyle w:val="TextBody"/>
        <w:bidi w:val="0"/>
        <w:spacing w:before="240" w:after="0"/>
        <w:jc w:val="left"/>
        <w:rPr>
          <w:rFonts w:ascii="Times New Roman" w:hAnsi="Times New Roman"/>
          <w:sz w:val="20"/>
        </w:rPr>
      </w:pPr>
      <w:r>
        <w:rPr>
          <w:rFonts w:ascii="Times New Roman" w:hAnsi="Times New Roman"/>
          <w:sz w:val="20"/>
        </w:rPr>
        <w:t xml:space="preserve">it being understood and intended that no one or more such holders of Securities shall have any right in any manner whatever by virtue of, or by availing of, any provision of this Indenture to affect, disturb or prejudice the rights of any other of such holders of Securities or to obtain or to seek to obtain priority or preference over any other of such holders or to enforce any right under this Indenture, except in the manner herein provided and for the equal and ratable benefit of all such holders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6.08. Unconditional Right of Securityholders to Receive Principal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this Indenture, the holder of any Security shall have the right, which is absolute and unconditional, to receive payment of the principal of and premium, if any, and (subject to Section 2.05 and Section 3.02) any interest on such Security on the respective stated maturities expressed in such Security (or, in the case of redemption, on the redemption date) and to institute suit for the enforcement of any such payment, and such right shall not be impaired without the consent of such holder.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6.09. Restoration of Rights and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any holder of a Security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shall, subject to any determination in such proceeding, be restored severally and respectively to their former positions hereunder, and thereafter all rights and remedies of the Trustee and the holders shall continue as though no such proceeding has been instituted.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6.10. Rights and Remedies Cumulative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Section 2.09,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6.11. Delay or Omission Not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delay or omission of the Trustee or of any holder of any Security to exercise any right or remedy accruing upon any default shall impair any such right or remedy or constitute a waiver of any such default or any acquiescence therein. Every right and remedy given by this Article or by law to the Trustee or to the holders of Securities may be exercised from time to time, and as often as may be deemed expedient, by the Trustee or by the holders of Securities, as the case may be.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6.12. Control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Outstanding Securities of each series shall have the right to direct the time, method and place of conducting any proceeding for any remedy available to the Trustee or exercising any trust or power conferred on the Trustee, provided that </w:t>
      </w:r>
    </w:p>
    <w:p>
      <w:pPr>
        <w:pStyle w:val="TextBody"/>
        <w:bidi w:val="0"/>
        <w:spacing w:before="240" w:after="0"/>
        <w:jc w:val="left"/>
        <w:rPr>
          <w:rFonts w:ascii="Times New Roman" w:hAnsi="Times New Roman"/>
          <w:sz w:val="20"/>
        </w:rPr>
      </w:pPr>
      <w:r>
        <w:rPr>
          <w:rFonts w:ascii="Times New Roman" w:hAnsi="Times New Roman"/>
          <w:sz w:val="20"/>
        </w:rPr>
        <w:t xml:space="preserve">(1) such direction shall not be in conflict with any statute, rule of law or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(2) the Trustee may take any other action deemed proper by the Trustee which is not inconsistent with such direction; and </w:t>
      </w:r>
    </w:p>
    <w:p>
      <w:pPr>
        <w:pStyle w:val="TextBody"/>
        <w:bidi w:val="0"/>
        <w:spacing w:before="240" w:after="0"/>
        <w:jc w:val="left"/>
        <w:rPr>
          <w:rFonts w:ascii="Times New Roman" w:hAnsi="Times New Roman"/>
          <w:sz w:val="20"/>
        </w:rPr>
      </w:pPr>
      <w:r>
        <w:rPr>
          <w:rFonts w:ascii="Times New Roman" w:hAnsi="Times New Roman"/>
          <w:sz w:val="20"/>
        </w:rPr>
        <w:t xml:space="preserve">(3) the Trustee need not take any action which it in good faith determines might involve it in personal liability or be unjustly prejudicial to the securityholders not consenting; provided, however, that the Trustee shall not have an affirmative obligation to determine whether such action is unduly prejudicial to the securityholders not consenting. </w:t>
      </w:r>
    </w:p>
    <w:p>
      <w:pPr>
        <w:pStyle w:val="TextBody"/>
        <w:bidi w:val="0"/>
        <w:spacing w:before="240" w:after="0"/>
        <w:jc w:val="left"/>
        <w:rPr>
          <w:rFonts w:ascii="Times New Roman" w:hAnsi="Times New Roman"/>
          <w:sz w:val="20"/>
        </w:rPr>
      </w:pPr>
      <w:r>
        <w:rPr>
          <w:rFonts w:ascii="Times New Roman" w:hAnsi="Times New Roman"/>
          <w:sz w:val="20"/>
        </w:rPr>
        <w:t xml:space="preserve">Upon receipt by the Trustee of any such direction with respect to Securities of a series all or part of which is represented by a temporary global Security or a permanent global Security, the Trustee shall establish a record date for determining holders of Outstanding Securities of such series entitled to join in such direction, which record date shall be at the close of business on the day the Trustee receives such direction. The holders on such record date, or their duly designated proxies, and only such persons, shall be entitled to join in such direction, whether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such holders remain holders after such record date, provided that, unless such majority in principal amount shall have been obtained prior to the day which is 90 days after such record date, such direction shall automatically and without further action by any holder be cancelled and of no further effect. Nothing in this paragraph shall prevent a holder, or a proxy of a holder, from giving, after expiration of such 90-day period, a new direction identical to a direction which has been cancelled pursuant to the proviso to the preceding sentence, in which event a new record date shall be established pursuant to the provisions of this Section 6.12.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6.13. Waiver of Past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6.02, the holders of a majority in principal amount of the Securities of each series at the time Outstanding may, on behalf of the holders of all the Securities of that series, waive any past default hereunder and its consequences, except a default: </w:t>
      </w:r>
    </w:p>
    <w:p>
      <w:pPr>
        <w:pStyle w:val="TextBody"/>
        <w:bidi w:val="0"/>
        <w:spacing w:before="120" w:after="0"/>
        <w:jc w:val="left"/>
        <w:rPr>
          <w:rFonts w:ascii="Times New Roman" w:hAnsi="Times New Roman"/>
          <w:sz w:val="20"/>
        </w:rPr>
      </w:pPr>
      <w:r>
        <w:rPr>
          <w:rFonts w:ascii="Times New Roman" w:hAnsi="Times New Roman"/>
          <w:sz w:val="20"/>
        </w:rPr>
        <w:t xml:space="preserve">(a) in the payment of the principal of, premium, if any, or any interest on any Security; or </w:t>
      </w:r>
    </w:p>
    <w:p>
      <w:pPr>
        <w:pStyle w:val="TextBody"/>
        <w:bidi w:val="0"/>
        <w:spacing w:before="240" w:after="0"/>
        <w:jc w:val="left"/>
        <w:rPr>
          <w:rFonts w:ascii="Times New Roman" w:hAnsi="Times New Roman"/>
          <w:sz w:val="20"/>
        </w:rPr>
      </w:pPr>
      <w:r>
        <w:rPr>
          <w:rFonts w:ascii="Times New Roman" w:hAnsi="Times New Roman"/>
          <w:sz w:val="20"/>
        </w:rPr>
        <w:t xml:space="preserve">(b) in respect of a covenant or provision hereof that pursuant to Article 10 cannot be modified or amended without the consent of the holder of each Outstanding Security affected. </w:t>
      </w:r>
    </w:p>
    <w:p>
      <w:pPr>
        <w:pStyle w:val="TextBody"/>
        <w:bidi w:val="0"/>
        <w:spacing w:before="240" w:after="0"/>
        <w:jc w:val="left"/>
        <w:rPr>
          <w:rFonts w:ascii="Times New Roman" w:hAnsi="Times New Roman"/>
          <w:sz w:val="20"/>
        </w:rPr>
      </w:pPr>
      <w:r>
        <w:rPr>
          <w:rFonts w:ascii="Times New Roman" w:hAnsi="Times New Roman"/>
          <w:sz w:val="20"/>
        </w:rPr>
        <w:t xml:space="preserve">Upon any such waiver, such default shall cease to exist, and any default or Event of Default arising therefrom shall be deemed to have been cured, for every purpose of this Indenture, but no such waiver shall extend to any subsequent or other default or impair any right consequent thereon.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6.14. Undertaking for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of any Securities for the enforcement of the payment of the principal of, premium, if any, or any interest on any Security on or after the respective stated maturities expressed in such Security (or, in the case of redemption, on or after the redemption date, except, in the case of a partial redemption, with respect to the portion not so redeemed).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6.15. Waiver of Stay or Extension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(to the extent that it may lawfully do so) that it will not at any time insist upon, or plead, or in any manner whatsoever claim or take the benefit or advantage of, any stay or extension laws wherever enacted, now or at any time hereafter in force, which may affect the covenants or the performance of this Indenture; and the Company (to the extent that it may lawfully do so) hereby expressly waives all benefits or advantage of any such law, and covenants that it will not hinder, delay or impede the execution of any power herein granted to the Trustee, but will suffer and permit the execution of every such power as though no such law had been enacted.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CONCERNING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7.01. Duties and Responsibilities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prior to the occurrence of an Event of Default of a particular series and after the curing of all Events of Default of such series which may have occurred, undertakes to perform such duties and only such duties with respect to such series as are specifically set forth in this Indenture, and no implied covenants or obligations shall be read into this Indenture against the Trustee. In the absence of bad faith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In case an Event of Default with respect to a particular series has occurred (which has not been cured), the Trustee shall exercise with respect to such series such of the rights and powers vested in it by this Indenture, and use the same degree of care and skill in their exercise, as a prudent man would exercise or use under the circumstances in the conduct of his own affairs. </w:t>
      </w:r>
    </w:p>
    <w:p>
      <w:pPr>
        <w:pStyle w:val="TextBody"/>
        <w:bidi w:val="0"/>
        <w:spacing w:before="240" w:after="0"/>
        <w:jc w:val="left"/>
        <w:rPr>
          <w:rFonts w:ascii="Times New Roman" w:hAnsi="Times New Roman"/>
          <w:sz w:val="20"/>
        </w:rPr>
      </w:pPr>
      <w:r>
        <w:rPr>
          <w:rFonts w:ascii="Times New Roman" w:hAnsi="Times New Roman"/>
          <w:sz w:val="20"/>
        </w:rPr>
        <w:t xml:space="preserve">(c) No provisions of this Indenture shall be construed to relieve the Trustee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(1) prior to the occurrence of an Event of Default with respect to a particular series and after the curing of all Events of Default with respect to such series which may have occurred, (x) the duties and obligations of the Trustee with respect to such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 (y) in the absence of bad faith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on their face to the requirements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Trustee shall not be liable for any error of judgment made in good faith by a Responsible Officer or Responsible Officers, unless it shall be proved that the Trustee was negligent in ascertaining the pertinent facts; and </w:t>
      </w:r>
    </w:p>
    <w:p>
      <w:pPr>
        <w:pStyle w:val="TextBody"/>
        <w:bidi w:val="0"/>
        <w:spacing w:before="240" w:after="0"/>
        <w:jc w:val="left"/>
        <w:rPr>
          <w:rFonts w:ascii="Times New Roman" w:hAnsi="Times New Roman"/>
          <w:sz w:val="20"/>
        </w:rPr>
      </w:pPr>
      <w:r>
        <w:rPr>
          <w:rFonts w:ascii="Times New Roman" w:hAnsi="Times New Roman"/>
          <w:sz w:val="20"/>
        </w:rPr>
        <w:t xml:space="preserve">(3) the Trustee shall not be liable with respect to any action taken or omitted to be taken by it in good faith in accordance with the direction of the holders of Securities pursuant to Section 6.12 relating to the time, method and place of conducting any proceeding for any remedy available to the Trustee, or exercising any trust or power conferred upon the Trustee,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(d) No provision of this Indenture shall be construed as requiring the Trustee to expend or risk its own funds or otherwise to incur any personal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7.02. Reliance on Documents, Opinions, etc.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7.01: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rely and shall be protected in acting or refraining from acting upon any resolution, certificate, statement, instrument, opinion, report, notice, request, consent, order, judgement, bond, debenture, note, coupon or other paper or document believed by it to be genuine and to have been signed or presented by the proper party or parties not only as the due execution, validity and effectiveness, but also as to the truth and accuracy of any information contained herein. The Trustee need not investigate any fact or matter stated in any such document; </w:t>
      </w:r>
    </w:p>
    <w:p>
      <w:pPr>
        <w:pStyle w:val="TextBody"/>
        <w:bidi w:val="0"/>
        <w:spacing w:before="240" w:after="0"/>
        <w:jc w:val="left"/>
        <w:rPr>
          <w:rFonts w:ascii="Times New Roman" w:hAnsi="Times New Roman"/>
          <w:sz w:val="20"/>
        </w:rPr>
      </w:pPr>
      <w:r>
        <w:rPr>
          <w:rFonts w:ascii="Times New Roman" w:hAnsi="Times New Roman"/>
          <w:sz w:val="20"/>
        </w:rPr>
        <w:t xml:space="preserve">(b) any request, direction, order or demand of the Company mentioned herein shall be sufficiently evidenced by a Company Request or Company Order (unless other evidence in respect thereof be herein specifically prescribed); and any Board Resolution may be evidenced to the Trustee by a copy thereof certified by the Secretary or any Assistant Secretary of the Company; and whenever in the administration of this Indenture the Trustee shall deem it desirable that a matter be proved or established prior to taking, suffering or omitting any action hereunder, the Trustee may rely upon an Officer’s Certificate and/or Opinion of Counsel, and the Trustee shall not be liable for any action taken or omitted to be taken by it in good faith in reliance on such Officer’s Certificate or such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consult with counsel of its selection and the advice of such counsel or any Opinion of Counsel shall be full and complete authorization and protection in respect of any action taken, suffered or omitted by it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(d) the Trustee shall be under no obligation to exercise any of the rights or powers vested in it by this Indenture at the request, order or direction of any of the holders of any Securities pursuant to the provisions of this Indenture, unless such holders shall have offered to the Trustee security or indemnity satisfactory to the Trustee against the costs, expenses and liabilities which might be incurred therein or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Trustee shall not be bound to make any investigation into the facts or matters stated in any resolution, certificate, statement, instrument, opinion, report, notice, request, direction, consent, order, bond, debenture, note, coupon or other paper or documents,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w:t>
      </w:r>
    </w:p>
    <w:p>
      <w:pPr>
        <w:pStyle w:val="TextBody"/>
        <w:bidi w:val="0"/>
        <w:spacing w:before="240" w:after="0"/>
        <w:jc w:val="left"/>
        <w:rPr>
          <w:rFonts w:ascii="Times New Roman" w:hAnsi="Times New Roman"/>
          <w:sz w:val="20"/>
        </w:rPr>
      </w:pPr>
      <w:r>
        <w:rPr>
          <w:rFonts w:ascii="Times New Roman" w:hAnsi="Times New Roman"/>
          <w:sz w:val="20"/>
        </w:rPr>
        <w:t xml:space="preserve">(f) the Trustee may execute any of the trusts or powers hereunder or perform any duties hereunder either directly or by or through agents or attorneys and the Trustee shall not be responsible for any misconduct or gross negligence on the part of any agent or attorney appointed with due care by it hereunder; </w:t>
      </w:r>
    </w:p>
    <w:p>
      <w:pPr>
        <w:pStyle w:val="TextBody"/>
        <w:bidi w:val="0"/>
        <w:spacing w:before="240" w:after="0"/>
        <w:jc w:val="left"/>
        <w:rPr>
          <w:rFonts w:ascii="Times New Roman" w:hAnsi="Times New Roman"/>
          <w:sz w:val="20"/>
        </w:rPr>
      </w:pPr>
      <w:r>
        <w:rPr>
          <w:rFonts w:ascii="Times New Roman" w:hAnsi="Times New Roman"/>
          <w:sz w:val="20"/>
        </w:rPr>
        <w:t xml:space="preserve">(g) the Trustee shall not be liable for any action taken, suffered or omitted to be taken by it in good faith and believed by it to be authorized or within the discretion or rights or powers conferred upon it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(h) in no event will the Trustee be responsible or liable for special, indirect, incidental, punitive or consequential loss or damage of any kind whatsoever (including, but not limited to, loss of profit) irrespective of whether the Trustee has been advised of the likelihood of such loss or damage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(i) in no event will the Trustee be responsible or liable for any failure or delay in the performance of its obligations hereunder arising out of or caused by, directly or indirectly, forces beyond its reasonable control, including, without limitation, any act or provision of any present or future law or regulation or governmental authority, strikes, pandemics, work stoppages, accidents, acts of war or terrorism, civil or military disturbances, sabotage, epidemics, riots, nuclear or natural catastrophes, earthquakes, fires, floods, or acts of God, and interruptions, loss or malfunctions of utilities, communications or computer (software or hardware) services, labor disputes, acts of civil or military authorities and governmental actions, or the unavailability of the Federal Reserve Bank wire or telex or other wire or communication facility; it being understood that the Trustee will use reasonable efforts that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(j) the Trustee shall not be required to give any bond or surety in respect of the performance of its powers hereunder; </w:t>
      </w:r>
    </w:p>
    <w:p>
      <w:pPr>
        <w:pStyle w:val="TextBody"/>
        <w:bidi w:val="0"/>
        <w:spacing w:before="240" w:after="0"/>
        <w:jc w:val="left"/>
        <w:rPr>
          <w:rFonts w:ascii="Times New Roman" w:hAnsi="Times New Roman"/>
          <w:sz w:val="20"/>
        </w:rPr>
      </w:pPr>
      <w:r>
        <w:rPr>
          <w:rFonts w:ascii="Times New Roman" w:hAnsi="Times New Roman"/>
          <w:sz w:val="20"/>
        </w:rPr>
        <w:t xml:space="preserve">(k) the Trustee may request that the Company deliver a certificate setting forth the names of individuals and/or titles of officers authorized at such time to take specified actions pursuant to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(l) the permissive rights of the Trustee to do things enumerated in this Indenture shall not be construed as a duty and, with respect to such permissive rights, the Trustee shall not be answerable other than for its gross negligence or willful misconduct.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7.03. No Responsibility for Recitals, etc. </w:t>
      </w:r>
    </w:p>
    <w:p>
      <w:pPr>
        <w:pStyle w:val="TextBody"/>
        <w:bidi w:val="0"/>
        <w:spacing w:before="240" w:after="0"/>
        <w:jc w:val="left"/>
        <w:rPr>
          <w:rFonts w:ascii="Times New Roman" w:hAnsi="Times New Roman"/>
          <w:sz w:val="20"/>
        </w:rPr>
      </w:pPr>
      <w:r>
        <w:rPr>
          <w:rFonts w:ascii="Times New Roman" w:hAnsi="Times New Roman"/>
          <w:sz w:val="20"/>
        </w:rPr>
        <w:t xml:space="preserve">The recitals contained herein and in the Securities, other than the Trustee’s certificate of authentication, shall be taken as the statements of the Company, and the Trustee assumes no responsibility for the correctness of the same. The Trustee makes no representations as to the validity or sufficiency of any offering materials, this Indenture or of the Securities, provided that the Trustee shall not be relieved of its duty to authenticate Securities only as authorized by this Indenture. The Trustee shall not be accountable for the use or application by the Company of Securities or the proceeds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7.04. Ownership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any authenticating agent, any paying agent, any Security Registrar or any other agent of the Company or of the Trustee, in its individual or any other capacity, may become the owner or pledgee of Securities with the same rights it would have if it were not Trustee, authenticating agent, paying agent, Security Registrar or such other agent of the Company or of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7.05. Moneys to be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12.04 hereof, all moneys received by the Trustee or any paying agent shall, until used or applied as herein provided, be held in trust for the purposes for which they were received, but need not be segregated from other funds except to the extent required by law. Neither the Trustee nor any paying agent shall be under any liability for interest on any moneys received by it hereunder except such as it may agree in writing with the Company to pay thereon.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7.06. Compensation and Expenses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and agrees to pay to the Trustee from time to time, and the Trustee shall be entitled to, such compensation for all services rendered by it hereunder (which to the extent permitted by law shall not be limited by any provision of law in regard to the compensation of a trustee of an express trust), and the Company will pay or reimburse the Trustee forthwith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gross negligence or willful misconduct. If any property other than cash shall at any time be subject to the lien of this Indenture, the Trustee, if and to the extent authorized by a receivership or bankruptcy court of competent jurisdiction or by the supplemental instrument subjecting such property to such lien, shall be entitled to make and to be reimbursed for, advances for the purpose of preserving such property or of discharging tax liens or other prior liens or encumbrances thereon. The Company also covenants to indemnify each of the Trustee and any predecessor Trustee for, and to hold it harmless against, any and all loss, damage, claims, suit, liability or expense, (including attorney’s fees and expenses, and taxes (other than taxes based upon, measured or determined by, the income of the Trustee)) incurred without gross negligence or willful misconduct on the part of the Trustee, arising out of or in connection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acceptance or administration of this trust, including the costs and expenses of defending itself against any claim of liability, whether asserted by the Company, a Holder or any other person. The obligations of the Company under this Section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 This indemnification shall apply to officers, directors, employees, shareholders and agents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To secure the Company’s obligations under this Section, the Trustee shall have a senior claim to which the Securities are hereby made subordinate on all money or property held or collected by the Trustee, except that held in trust to pay principal of (and premium, if any) and interest, if any, on particular Securities. </w:t>
      </w:r>
    </w:p>
    <w:p>
      <w:pPr>
        <w:pStyle w:val="TextBody"/>
        <w:bidi w:val="0"/>
        <w:spacing w:before="240" w:after="0"/>
        <w:jc w:val="left"/>
        <w:rPr>
          <w:rFonts w:ascii="Times New Roman" w:hAnsi="Times New Roman"/>
          <w:sz w:val="20"/>
        </w:rPr>
      </w:pPr>
      <w:r>
        <w:rPr>
          <w:rFonts w:ascii="Times New Roman" w:hAnsi="Times New Roman"/>
          <w:sz w:val="20"/>
        </w:rPr>
        <w:t xml:space="preserve">When the Trustee incurs expenses or renders services after an Event of Default, the expenses and the compensation for the services are intended to constitute expenses of administration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shall survive the resignation or removal of the Trustee and the termination of this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7.07. Officer</w:t>
      </w:r>
      <w:r>
        <w:rPr>
          <w:rFonts w:ascii="Times New Roman" w:hAnsi="Times New Roman"/>
          <w:sz w:val="20"/>
        </w:rPr>
        <w:t>’</w:t>
      </w:r>
      <w:r>
        <w:rPr>
          <w:rFonts w:ascii="Times New Roman" w:hAnsi="Times New Roman"/>
          <w:b/>
          <w:sz w:val="20"/>
        </w:rPr>
        <w:t>s Certificate or Opinion of Counsel as Evidence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7.01, whenever in the administration of the provisions of this Indenture the Trustee shall deem it necessary or desirable that a matter be proved or established prior to taking or suffering any action to be taken hereunder, such matter (unless other evidence in respect thereof be herein specifically prescribed) may, in the absence of gross negligence or bad faith on the part of the Trustee, be deemed to be conclusively proved and established by an Officer’s Certificate or Opinion of Counsel delivered to the Trustee, and such certificate or opinion, in the absence of gross negligence or bad faith on the part of the Trustee, shall be full warrant to the Trustee for any action taken, suffered or omitted by it under the provisions of this Indenture upon the faith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7.08. Disqualifications; Conflicting Interest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has or shall acquire any “conflicting interest” within the meaning of the Trust Indenture Act, the Trustee and the Company shall in all respects comply with the provisions of Section 310(b) of the Trust Indenture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7.09. Eligibility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shall at all times be a Trustee hereunder which shall be a corporation organized and doing business under the laws of the United States or of any State or Territory thereof or of the District of Columbia, which (a) is authorized under such laws to exercise corporate trust powers, (b) is subject to supervision or examination by federal, state, territorial or District of Columbia authority, (c) shall have at all times a combined capital and surplus of not less than $50,000,000 and (d) shall not be the Company or any person directly or indirectly controlling, controlled by, or under common control with the Company. If such corporation publishes reports of condition at least annually, pursuant to law, or to the requirements of the aforesaid supervising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examining authority, then for the purposes of this Section, the combined capital and surplus of such corporation at any time shall be deemed to be its combined capital and surplus as set forth in its most recent report of condition so published. In case at any time the Trustee shall cease to be eligible in accordance with the provisions of this Section, the Trustee shall resign immediately in the manner and with the effect specified in Section 7.10.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7.10. Resignation or Removal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or any trustee or trustees hereafter appointed, may at any time resign and be discharged from the trust hereby created by giving written notice of resignation to the Company. Upon receiving such notice of resignation, the Company shall promptly appoint a successor trustee with respect to the applicable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at the expense of the Company. Such court may thereupon, after such notice, if any, as it may deem proper and prescribe,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(b) In case at any time any of the following shall occur: </w:t>
      </w:r>
    </w:p>
    <w:p>
      <w:pPr>
        <w:pStyle w:val="TextBody"/>
        <w:bidi w:val="0"/>
        <w:spacing w:before="120" w:after="0"/>
        <w:jc w:val="left"/>
        <w:rPr>
          <w:rFonts w:ascii="Times New Roman" w:hAnsi="Times New Roman"/>
          <w:sz w:val="20"/>
        </w:rPr>
      </w:pPr>
      <w:r>
        <w:rPr>
          <w:rFonts w:ascii="Times New Roman" w:hAnsi="Times New Roman"/>
          <w:sz w:val="20"/>
        </w:rPr>
        <w:t xml:space="preserve">(1) the Trustee shall fail to comply with Section 7.08 with respect to any series of Securities after written request therefor by the Company or by any securityholder who has been a bona fide holder of a Security or Securities of such series for at least six months, or </w:t>
      </w:r>
    </w:p>
    <w:p>
      <w:pPr>
        <w:pStyle w:val="TextBody"/>
        <w:bidi w:val="0"/>
        <w:spacing w:before="240" w:after="0"/>
        <w:jc w:val="left"/>
        <w:rPr>
          <w:rFonts w:ascii="Times New Roman" w:hAnsi="Times New Roman"/>
          <w:sz w:val="20"/>
        </w:rPr>
      </w:pPr>
      <w:r>
        <w:rPr>
          <w:rFonts w:ascii="Times New Roman" w:hAnsi="Times New Roman"/>
          <w:sz w:val="20"/>
        </w:rPr>
        <w:t xml:space="preserve">(2) the Trustee shall cease to be eligible in accordance with the provisions of Section 7.09 with respect to any series of Securities and shall fail to resign after written request therefor by the Company or by any such securityholder, or </w:t>
      </w:r>
    </w:p>
    <w:p>
      <w:pPr>
        <w:pStyle w:val="TextBody"/>
        <w:bidi w:val="0"/>
        <w:spacing w:before="240" w:after="0"/>
        <w:jc w:val="left"/>
        <w:rPr>
          <w:rFonts w:ascii="Times New Roman" w:hAnsi="Times New Roman"/>
          <w:sz w:val="20"/>
        </w:rPr>
      </w:pPr>
      <w:r>
        <w:rPr>
          <w:rFonts w:ascii="Times New Roman" w:hAnsi="Times New Roman"/>
          <w:sz w:val="20"/>
        </w:rPr>
        <w:t xml:space="preserve">(3) the Trustee shall become incapable of acting with respect to any series of Securities,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the Company may remove the Trustee with respect to the applicable series of Securities and appoint a successor trustee with respect to such series by written instrument, in duplicate, executed by order of the Board of Directors, one copy of which instrument shall be delivered to the Trustee so removed and one copy to the successor trustee, or, subject to the provisions of Section 6.14, any securityholder of such series who has been a bona fide holder of a Security or Securities of the applicable series for at least six months may, on behalf of himself or herself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(c) Upon 30 days’ prior written notice, the holders of a majority in aggregate principal amount of the Securities of all series (voting as one class) at the time Outstanding may at any time remove the Trustee with respect to Securities of all series and appoint a successor trustee with respect to the Securities of all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resignation or removal of the Trustee and any appointment of a successor trustee pursuant to any of the provisions of this Section shall become effective upon the appointment of a successor trustee and the acceptance of appointment by the successor trustee as provided in Section 7.11.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7.11. Acceptance by Successor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successor trustee appointed as provided in Section 7.10 shall execute, acknowledge and deliver to the Company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the rights, powers, duties and obligations with respect to such series of its predecessor hereunder, with like effect as if originally named as trustee herein; but, nevertheless, on the written request of the Company or of the successor trustee, the predecessor trustee shall, upon payment of any amounts then due it pursuant to the provisions of Section 7.06, execute and deliver an instrument transferring to such successor trustee all the rights and powers of the predecessor trustee. Upon request of any such successor trustee, the Company shall execute any and all instruments in writing in order more fully and certainly to vest in and confirm to such successor trustee all such rights and powers. Any trustee, including the initial Trustee, ceasing to act shall, nevertheless, retain a lien upon all property or funds held or collected by such trustee to secure any amounts then due it pursuant to the provisions of Section 7.06. </w:t>
      </w:r>
    </w:p>
    <w:p>
      <w:pPr>
        <w:pStyle w:val="TextBody"/>
        <w:bidi w:val="0"/>
        <w:spacing w:before="240" w:after="0"/>
        <w:jc w:val="left"/>
        <w:rPr>
          <w:rFonts w:ascii="Times New Roman" w:hAnsi="Times New Roman"/>
          <w:sz w:val="20"/>
        </w:rPr>
      </w:pPr>
      <w:r>
        <w:rPr>
          <w:rFonts w:ascii="Times New Roman" w:hAnsi="Times New Roman"/>
          <w:sz w:val="20"/>
        </w:rPr>
        <w:t xml:space="preserve">In case of the appointment hereunder of a successor trustee with respect to the Securities of one or more (but not all) series, the Company,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w:t>
      </w:r>
    </w:p>
    <w:p>
      <w:pPr>
        <w:pStyle w:val="TextBody"/>
        <w:bidi w:val="0"/>
        <w:spacing w:before="240" w:after="0"/>
        <w:jc w:val="left"/>
        <w:rPr>
          <w:rFonts w:ascii="Times New Roman" w:hAnsi="Times New Roman"/>
          <w:sz w:val="20"/>
        </w:rPr>
      </w:pPr>
      <w:r>
        <w:rPr>
          <w:rFonts w:ascii="Times New Roman" w:hAnsi="Times New Roman"/>
          <w:sz w:val="20"/>
        </w:rPr>
        <w:t xml:space="preserve">No successor trustee shall accept appointment as provided in this Section unless at the time of such acceptance such successor trustee shall be qualified and eligible under the provisions of this Article 7. </w:t>
      </w:r>
    </w:p>
    <w:p>
      <w:pPr>
        <w:pStyle w:val="TextBody"/>
        <w:bidi w:val="0"/>
        <w:spacing w:before="240" w:after="0"/>
        <w:jc w:val="left"/>
        <w:rPr>
          <w:rFonts w:ascii="Times New Roman" w:hAnsi="Times New Roman"/>
          <w:sz w:val="20"/>
        </w:rPr>
      </w:pPr>
      <w:r>
        <w:rPr>
          <w:rFonts w:ascii="Times New Roman" w:hAnsi="Times New Roman"/>
          <w:sz w:val="20"/>
        </w:rPr>
        <w:t xml:space="preserve">Upon acceptance of appointment by a successor trustee as provided in this Section, the Company shall mail notice of the succession of such trustee hereunder to all holders of Securities of any applicable series as the names and addresses of such holders shall appear on the registry books. If the Company fails to mail such notice in the prescribed manner within ten days after the acceptance of appointment by the successor trustee, the successor trustee shall cause such notice to be so mailed at the expense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7.12. Successor by Merger, etc.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trustee hereunder, provided such corporation shall be qualified and eligible under the provisions of this Article 7,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7.13. Limitations on Rights of Trustee as Creditor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7.14. Notice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Within 90 days after the occurrence of any default on a series of Securities hereunder of which a Responsible Officer of the Trustee has received notice or is deemed to have notice in accordance with this Section 7.14, the Trustee shall transmit to all securityholders of that series, in the manner and to the extent provided in Section 15.04, notice of such default hereunder actually known to a Responsible Officer of the Trustee, unless such default shall have been cured or waived; provided, that except in the case of a default in the payment of the principal of or interest on any Security or on the payment of any sinking or purchase fund installment, the Trustee shall be protected in withholding such notice if and so long as a Responsible Officer of the Trustee in good faith determines that the withholding of such notice is in the interests of the securityholders; and provided, further, that in the case of any default of the character specified in clause (c) of Section 6.01 no such notice to securityholders shall be given until at least 30 days after the occurrence thereof. The Trustee will not be required to take notice or be deemed to have notice of any default or Event of Default, except failure by the Company to pay or cause to be made any of the payments required to be made to the Trustee, unless a Responsible Officer shall receive written notice of such default or Event of Default from the Company or by the holders of at least 25% in aggregate principal amount of the then Outstanding Securities delivered to the Corporate Trust Office of the Trustee and such notice states that it is a notice of a default or Event of Default with respect to the Securities and this Indenture, and in the absence of such notice so delivered the Trustee may conclusively assume no default or Event of Default exists.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7.15. Appointment of Authenticating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appoint an authenticating agent or agents (which may be an affiliate or affiliates of the Company) with respect to one or more series of Securities which shall be authorized to act on behalf of the Trustee to authenticate Securities of such series issued upon original issue or upon exchange, registration of transfer or partial redemption thereof or pursuant to Section 2.09,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or of any State or Territory thereof or of the District of Columbia, which (a) is authorized under such laws to exercise corporate trust powers or to otherwise act as authenticating agent, (b) is subject to supervision or examination by federal, state, territorial or District of Columbia authority, and (c) shall have at all times a combined capital and surplus of not less than $50,000,000.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such authenticating agent, shall continue to be an authenticating agent, provided such corporation shall be otherwise eligible under this Section, without the execution or filing of any paper or any further act on the part of the Trustee or such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promptly give notice of such appointment to all holders of Securities in the manner and to the extent provided in Section 15.04.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agrees to pay to each authenticating agent from time to time reasonable compensation for its services under this Section. </w:t>
      </w:r>
    </w:p>
    <w:p>
      <w:pPr>
        <w:pStyle w:val="TextBody"/>
        <w:bidi w:val="0"/>
        <w:spacing w:before="240" w:after="0"/>
        <w:jc w:val="left"/>
        <w:rPr>
          <w:rFonts w:ascii="Times New Roman" w:hAnsi="Times New Roman"/>
          <w:sz w:val="20"/>
        </w:rPr>
      </w:pPr>
      <w:r>
        <w:rPr>
          <w:rFonts w:ascii="Times New Roman" w:hAnsi="Times New Roman"/>
          <w:sz w:val="20"/>
        </w:rPr>
        <w:t xml:space="preserve">If an appointment with respect to one or more series is made pursuant to this Section, the Securities of such series may have endorsed thereon, in addition to the Trustee’s certificate of authentication, an alternative certificate of authentication in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47"/>
        <w:gridCol w:w="110"/>
        <w:gridCol w:w="3125"/>
      </w:tblGrid>
      <w:tr>
        <w:trPr/>
        <w:tc>
          <w:tcPr>
            <w:tcW w:w="847"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Trustee</w:t>
            </w:r>
          </w:p>
        </w:tc>
      </w:tr>
      <w:tr>
        <w:trPr>
          <w:trHeight w:val="240" w:hRule="atLeast"/>
        </w:trPr>
        <w:tc>
          <w:tcPr>
            <w:tcW w:w="847" w:type="dxa"/>
            <w:tcBorders/>
            <w:vAlign w:val="center"/>
          </w:tcPr>
          <w:p>
            <w:pPr>
              <w:pStyle w:val="TableContents"/>
              <w:bidi w:val="0"/>
              <w:spacing w:before="0" w:after="283"/>
              <w:jc w:val="left"/>
              <w:rPr>
                <w:sz w:val="4"/>
                <w:szCs w:val="4"/>
              </w:rPr>
            </w:pPr>
            <w:r>
              <w:rPr>
                <w:sz w:val="4"/>
                <w:szCs w:val="4"/>
              </w:rPr>
            </w:r>
          </w:p>
        </w:tc>
        <w:tc>
          <w:tcPr>
            <w:tcW w:w="3235"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By:</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3125"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r>
        <w:trPr/>
        <w:tc>
          <w:tcPr>
            <w:tcW w:w="847" w:type="dxa"/>
            <w:tcBorders/>
          </w:tcPr>
          <w:p>
            <w:pPr>
              <w:pStyle w:val="TableContents"/>
              <w:bidi w:val="0"/>
              <w:spacing w:before="0" w:after="0"/>
              <w:jc w:val="left"/>
              <w:rPr>
                <w:rFonts w:ascii="Times New Roman" w:hAnsi="Times New Roman"/>
                <w:sz w:val="20"/>
              </w:rPr>
            </w:pPr>
            <w:r>
              <w:rPr>
                <w:rFonts w:ascii="Times New Roman" w:hAnsi="Times New Roman"/>
                <w:sz w:val="20"/>
              </w:rPr>
              <w:t>Date:</w:t>
            </w:r>
          </w:p>
        </w:tc>
        <w:tc>
          <w:tcPr>
            <w:tcW w:w="110" w:type="dxa"/>
            <w:tcBorders/>
            <w:vAlign w:val="bottom"/>
          </w:tcPr>
          <w:p>
            <w:pPr>
              <w:pStyle w:val="TableContents"/>
              <w:bidi w:val="0"/>
              <w:spacing w:before="0" w:after="283"/>
              <w:jc w:val="left"/>
              <w:rPr/>
            </w:pPr>
            <w:r>
              <w:rPr/>
              <w:t> </w:t>
            </w:r>
          </w:p>
        </w:tc>
        <w:tc>
          <w:tcPr>
            <w:tcW w:w="312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If all of the Securities of a series may not be originally issued at one time, and the Trustee does not have an office capable of authenticating Securities upon original issuance located in a Place of Payment where the Company wishes to have Securities of such series authenticated upon original issuance, the Trustee, if so requested by the Company in writing, shall appoint in accordance with this Section an authenticating agent (which, if so requested by the Company, shall be such affiliate of the Company) having an office in a Place of Payment designated by the Company with respect to such series of Securities, provided that the terms and conditions of such appointment are acceptable to the Trustee.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0" w:after="0"/>
        <w:jc w:val="center"/>
        <w:rPr>
          <w:rFonts w:ascii="Times New Roman" w:hAnsi="Times New Roman"/>
          <w:b/>
          <w:sz w:val="20"/>
        </w:rPr>
      </w:pPr>
      <w:r>
        <w:rPr>
          <w:rFonts w:ascii="Times New Roman" w:hAnsi="Times New Roman"/>
          <w:b/>
          <w:sz w:val="20"/>
        </w:rPr>
        <w:t xml:space="preserve">CONCERNING THE SECURITYHOLDERS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8.01. Action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in this Indenture it is provided that the holders of a specified percentage in aggregate principal amount of the Securities of any or all series may take any action (including the making of any demand or request, the giving of any authorization, notice, consent or waiver or the taking of any other action), the fact that at the time of taking any such action the holders of such specified percentage have joined therein may be evidenced (a) by any instrument or any number of instruments of similar tenor executed by securityholders in person or by agent or proxy appointed in writing, or (b) by a combination of such instrument or instruments and any such record of such a meeting of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a specified percentage in aggregate principal amount of the Securities of any or all series have taken any action (including the making of any demand or request, the giving of any authorization, direction, notice, consent or waiver or the taking of any other action), (i) the principal amount of any Original Issue Discount Security that may be counted in making such determination and that shall be deemed to be outstanding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purposes shall be equal to the amount of the principal thereof that could be declared to be due and payable upon an Event of Default pursuant to the terms of such Original Issue Discount Security at the time the taking of such of such action is evidenced to the Trustee, and (ii) the principal amount of a Security denominated in a foreign currency or currency unit shall be the Dollar equivalent, determined as of the date of original issuance of such Security in accordance with Section 2.03 hereof, of the principal amount of such Security.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8.02. Proof of Execution by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7.01, Section 7.02 and Section 9.05, proof of the execution of any instrument by a securityholder or its agent or proxy, or of the holding by any person of a Security, shall be sufficient and conclusive in favor of the Trustee and the Company if made in accordance with such reasonable rules and regulations as may be prescribed by the Trustee or in such manner as shall be satisfactory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principal amount and serial numbers of Registered Securities held by any person, and the date of holding the same, shall be proved by the Security Register. </w:t>
      </w:r>
    </w:p>
    <w:p>
      <w:pPr>
        <w:pStyle w:val="TextBody"/>
        <w:bidi w:val="0"/>
        <w:spacing w:before="240" w:after="0"/>
        <w:jc w:val="left"/>
        <w:rPr>
          <w:rFonts w:ascii="Times New Roman" w:hAnsi="Times New Roman"/>
          <w:sz w:val="20"/>
        </w:rPr>
      </w:pPr>
      <w:r>
        <w:rPr>
          <w:rFonts w:ascii="Times New Roman" w:hAnsi="Times New Roman"/>
          <w:sz w:val="20"/>
        </w:rPr>
        <w:t xml:space="preserve">The record of any securityholders’ meeting shall be proved in the manner provided in Section 9.06.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8.03. Who Are Deemed Absolute Owners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a Registered Security for registration of transfer, the Company, the Trustee and any agent of the Company or of the Trustee may deem the person in whose name such Registered Security shall be registered upon the Security Register to be, and may treat him as, the absolute owner of such Registered Security (whether or not such Security shall be overdue and notwithstanding any notation of ownership or other writing thereon), for the purpose of receiving payment of or on account of the principal of (and premium, if any) and, subject to the provisions of Section 2.05 and Section 2.07, any interest on such Security and for all other purposes; and neither the Company nor the Trustee nor any agent of the Company or of the Trustee shall be affected by any notice to the contrary. All such payments so made to any holder for the time being, or upon his or her order, shall be valid and, to the extent of the sum or sums so paid, effectual to satisfy and discharge the liability for moneys payable upon any such Security.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with respect to any temporary or permanent global Security, nothing herein shall prevent the Company, the Trustee, or any agent of the Company or of the Trustee, from giving effect to any written certification, proxy or other authorization furnished by a Depositary, or impair, as between a Depositary and holders of beneficial interests in any temporary or permanent global Security, as the case may be, the operation of customary practices governing the exercise of the rights of the Depositary as holder of such temporary or permanent global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8.04. Company-Owned Securities Disregarded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required aggregate principal amount of Securities have provided any request, demand, authorization, notice, direction, consent or waiver under this Indenture, Securities which are owned by the Company or any other obligor on the Securities, or by any person directly or indirectly controlling or controlled by or under direct or indirect common control with the Company or any other obligor on the Securities, shall be disregarded and deemed not to be Outstanding for the purpose of any such determination, except that for the purpose of determining whether the Trustee shall be protected in relying on any such request, demand, authorization, direction, notice, consent or waiver, only Securities which a Responsible Officer of the Trustee actually knows are so owned shall be so disregarded. Securities so owned which have been pledged in good faith may be regarded as Outstanding for the purposes of this Section if the pledgee shall establish to the satisfaction of the Trustee the pledgee’s right to vote such Securities and that the pledgee is not a person directly or indirectly controlling or controlled by or under direct or indirect common control with the Company or any such other obligor. In the case of a dispute as to such right, any decision by the Trustee taken upon the advice of counsel shall be full protection to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8.05. Revocation of Consents; Future Securityholders Bound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the taking of any action by the holders of the percentage in aggregate principal amount of the Securities specified in this Indenture in connection with such action, any holder of a Security, the identifying number of which is shown by the evidence to be included in the Securities the holders of which have consented to such action, may, by filing written notice with the Trustee at its Corporate Trust Office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upon registration of transfer of or in exchange or substitution therefor in respect of anything done, omitted or suffered to be done by the Trustee or the Company in reliance thereon, irrespective of whether or not any notation in regard thereto is made upon such Security. Any action taken by the holders of the percentage in aggregate principal amount of the Securities specified in this Indenture in connection with such action shall be conclusively binding upon the Company, the Trustee and the holders of all the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8.06. Record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but shall not be obligated to, set a record date for purposes of determining the identity of holders of Securities of any series entitled to vote or consent to any action by vote or consent or to otherwise take any action under this Indenture authorized or permitted by Section 6.12 and Section 6.13 or otherwise under this Indenture. Such record date shall be the later of (i) the date 20 days prior to the first solicitation of such consent or vote or other action and (ii) the date of the most recent list of holders of such Securities delivered to the principal Corporate Trust Office of the Trustee pursuant to Section 5.01 prior to such solicitation. If such a record date is fixed, those persons who were holders of such Securities at the close of business on such record date shall be entitled to vote or consent or take such other action, or to revoke any such action, whether or not such persons continue to be holders after such record date, and for that purpose the Outstanding Securities shall be computed as of such record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0" w:after="0"/>
        <w:jc w:val="center"/>
        <w:rPr>
          <w:rFonts w:ascii="Times New Roman" w:hAnsi="Times New Roman"/>
          <w:b/>
          <w:sz w:val="20"/>
        </w:rPr>
      </w:pPr>
      <w:r>
        <w:rPr>
          <w:rFonts w:ascii="Times New Roman" w:hAnsi="Times New Roman"/>
          <w:b/>
          <w:sz w:val="20"/>
        </w:rPr>
        <w:t xml:space="preserve">SECURITYHOLDERS’ MEETINGS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9.01. Purposes of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meeting of holders of any or all series of Securities may be called at any time and from time to time pursuant to the provisions of this Article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(a) to give any notice to the Company or to the Trustee, or to give any directions to the Trustee, or to waive any default hereunder and its consequences, or to take any other action authorized to be taken by securityholders pursuant to any of the provisions of Article 6; </w:t>
      </w:r>
    </w:p>
    <w:p>
      <w:pPr>
        <w:pStyle w:val="TextBody"/>
        <w:bidi w:val="0"/>
        <w:spacing w:before="240" w:after="0"/>
        <w:jc w:val="left"/>
        <w:rPr>
          <w:rFonts w:ascii="Times New Roman" w:hAnsi="Times New Roman"/>
          <w:sz w:val="20"/>
        </w:rPr>
      </w:pPr>
      <w:r>
        <w:rPr>
          <w:rFonts w:ascii="Times New Roman" w:hAnsi="Times New Roman"/>
          <w:sz w:val="20"/>
        </w:rPr>
        <w:t xml:space="preserve">(b) to remove the Trustee and appoint a successor trustee pursuant to the provisions of Article 7; </w:t>
      </w:r>
    </w:p>
    <w:p>
      <w:pPr>
        <w:pStyle w:val="TextBody"/>
        <w:bidi w:val="0"/>
        <w:spacing w:before="240" w:after="0"/>
        <w:jc w:val="left"/>
        <w:rPr>
          <w:rFonts w:ascii="Times New Roman" w:hAnsi="Times New Roman"/>
          <w:sz w:val="20"/>
        </w:rPr>
      </w:pPr>
      <w:r>
        <w:rPr>
          <w:rFonts w:ascii="Times New Roman" w:hAnsi="Times New Roman"/>
          <w:sz w:val="20"/>
        </w:rPr>
        <w:t xml:space="preserve">(c) to consent to the execution of an indenture or indentures supplemental hereto pursuant to the provisions of Section 10.02; or </w:t>
      </w:r>
    </w:p>
    <w:p>
      <w:pPr>
        <w:pStyle w:val="TextBody"/>
        <w:bidi w:val="0"/>
        <w:spacing w:before="240" w:after="0"/>
        <w:jc w:val="left"/>
        <w:rPr>
          <w:rFonts w:ascii="Times New Roman" w:hAnsi="Times New Roman"/>
          <w:sz w:val="20"/>
        </w:rPr>
      </w:pPr>
      <w:r>
        <w:rPr>
          <w:rFonts w:ascii="Times New Roman" w:hAnsi="Times New Roman"/>
          <w:sz w:val="20"/>
        </w:rPr>
        <w:t xml:space="preserve">(d) to take any other action authorized to be taken by or on behalf of the holders of any specified aggregate principal amount of the Securities of any or all series, as the case may be, under any other provision of this Indenture or under applicable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9.02. Call of Meetings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at any time call a meeting of securityholders of any or all series to take any action specified in Section 9.01, to be held at such time and at such place in New York, New York as the Trustee shall determine. Notice of every meeting of the securityholders of any or all series, setting forth the time and place of such meeting and in general terms the action proposed to be taken at such meeting, shall be given in the manner provided in Section 15.04 not less than 20 nor more than 180 days prior to the date fixed for the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9.03. Call of Meetings by Company or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at any time the Company, pursuant to a Board Resolution, or the holders of at least 10% in aggregate principal amount of the Securities of any or all series, as the case may be, then Outstanding, shall have requested the Trustee to call a meeting of securityholders of any or all series to take any action authorized in Section 9.01, by written request setting forth in reasonable detail the action proposed to be taken at the meeting, and the Trustee shall not have provided notice of such meeting in the manner provided in Section 15.04 within 30 days after receipt of such request, then the Company or the holders of such Securities in the amount above specified may determine the time and the place in New York, New York for such meeting and may call such meeting by giving notice thereof as provided in Section 9.02.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9.04. Qualifications for Voting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be entitled to vote at any meeting of securityholders a person shall be a holder of one or more Securities of such series Outstanding with respect to which a meeting is being held or a person appointed by an instrument in writing as proxy by such a holder or holders. The only persons who shall be entitled to be present or to speak at any meeting of the securityholders of any series shall be the persons entitled to vote at such meeting and their counsel and any representatives of the Trustee and its counsel and any representatives of the Company and its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9.05. Regulations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provisions of this Indenture, the Trustee may make such reasonable regulations as it may deem advisable for any meeting of securityholders of a series,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deems fit. Except as otherwise permitted or required by any such regulations, the holding of Securities shall be proved in the manner specified in Article 8 and the appointment of any proxy shall be proved in the manner specified in Article 8. Such regulations may provide that written instruments appointing proxies, regular on their face, may be presumed valid and genuine without the proof specified in Article 8 or other proof.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by an instrument in writing, appoint a temporary chairman of the meeting, unless the meeting shall have been called by the Company or by securityholders as provided in Section 9.03, in which case the Company or the securityholders calling the meeting, as the case may be, shall in like manner appoint a temporary chairman. A permanent chairman and a permanent secretary of the meeting shall be elected by vote of the holders of a majority in principal amount of the Securities represented at the meeting and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8.01 and Section 8.04, at any meeting each securityholder or proxy shall be entitled to one vote for each $1,000 (or the Dollar equivalent thereof in connection with Securities issued in a foreign currency or currency unit) Outstanding principal amount of Securities of such series held or represented by him or her; provided, however, that no vote shall be cast or counted at any meeting in respect of any Security challenged as not Outstanding and ruled by the chairman of the meeting to be not Outstanding. The chairman of the meeting shall have no right to vote except as a securityholder or proxy. Any meeting of securityholders duly called pursuant to the provisions of Section 9.02 or Section 9.03 may be adjourned from time to time, and the meeting may be reconvened without further notice.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9.06. Voting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vote upon any resolution submitted to any meeting of securityholders shall be by written ballot on which shall be subscribed the signatures of the securityholders or proxies and on which shall be inscribed the identifying number or numbers or to which shall be attached a list of identifying numbers of the Securities held or represented by them. The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securityholders shall be prepared by the secretary of the meeting and there shall be attached to the record the original reports of the inspectors of votes on any vote by ballot taken thereat and affidavits by one or more persons having knowledge of the facts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setting forth a copy of the notice of the meeting and showing that the notice was mailed as provided in Section 9.02. The record shall be signed and verified by the chairman and secretary of the meeting and one of the duplicates shall be delivered to the Company and the other to the Trustee to be preserved by the Trustee, the latter to have attached thereto the ballots voted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Any record so signed and verified shall be conclusive evidence of the matters therein stated.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10.01. Supplemental Indentures without 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Without the consent of any holders of Securities, the Company, when authorized by or pursuant to Board Resolution, and the Trustee may from time to time and at any time enter into an indenture or indentures supplemental hereto (which shall conform to the provisions of the Trust Indenture Act as in force at the date of the execution thereof) for one or more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(a) to evidence the succession of another corporation to the Company, or successive successions, pursuant to Article 11 hereof, and the assumption by the successor corporation of the covenants, agreements and obligations of the Company herein and in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(b) to add to the covenants of the Company such further covenants, restrictions, conditions or provisions as its Board of Directors shall consider to be for the protection of the holders of Securities, and to make the occurrence, or the occurrence and continuance, of a default in any of such additional covenants, restrictions, conditions or provisions an Event of Default permitting the enforcement of all or any of the several remedies provided in this Indenture as herein set forth, with such period of grace, if any, and subject to such conditions as such supplemental indenture may provide; </w:t>
      </w:r>
    </w:p>
    <w:p>
      <w:pPr>
        <w:pStyle w:val="TextBody"/>
        <w:bidi w:val="0"/>
        <w:spacing w:before="240" w:after="0"/>
        <w:jc w:val="left"/>
        <w:rPr>
          <w:rFonts w:ascii="Times New Roman" w:hAnsi="Times New Roman"/>
          <w:sz w:val="20"/>
        </w:rPr>
      </w:pPr>
      <w:r>
        <w:rPr>
          <w:rFonts w:ascii="Times New Roman" w:hAnsi="Times New Roman"/>
          <w:sz w:val="20"/>
        </w:rPr>
        <w:t xml:space="preserve">(c) to establish any series of Securities and the form or terms of securities of any series as permitted by Section 2.01 and Section 2.03, including, without limitation, any subordination provisions and any conversion or exchange provisions applicable to Securities that are convertible into or exchangeable for other securities or property, and any deletions from or additions or changes to this Indenture in connection therewith (provided that any such deletions, additions and changes shall not be applicable to any other series of Securities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(d) to add any additional Events of Default with respect to all or any series of Securities (as shall be specified in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(e) to supplement any of the provisions of this Indenture to such extent as shall be necessary to permit or facilitate the defeasance, covenant defeasance and/or satisfaction and discharge of any series of Securities pursuant to Article 14, provided that any such action shall not adversely affect the interests of any holder of a Security of such series or any other Security in any material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in the case of any series of Securities which are convertible into or exchangeable for commodities or for the securities of the Company to safeguard or provide for the conversion or exchange rights, as the case may be, of such Securities in the event of any reclassification or change of outstanding securities or any merger, consolidation, statutory share exchange or combination of the Company with or into another Person or any sale, lease, assignment, transfer, disposition or other conveyance of all or substantially all of the properties and assets of the Company to any other Person or other similar transactions in accordance with the terms of this Indenture or if expressly required by the terms of such series of Securities established pursuant to Section 2.03; </w:t>
      </w:r>
    </w:p>
    <w:p>
      <w:pPr>
        <w:pStyle w:val="TextBody"/>
        <w:bidi w:val="0"/>
        <w:spacing w:before="240" w:after="0"/>
        <w:jc w:val="left"/>
        <w:rPr>
          <w:rFonts w:ascii="Times New Roman" w:hAnsi="Times New Roman"/>
          <w:sz w:val="20"/>
        </w:rPr>
      </w:pPr>
      <w:r>
        <w:rPr>
          <w:rFonts w:ascii="Times New Roman" w:hAnsi="Times New Roman"/>
          <w:sz w:val="20"/>
        </w:rPr>
        <w:t xml:space="preserve">(g) to add to, delete from or revise the conditions, limitations or restrictions on issue, authentication and delivery of Securities of any series; </w:t>
      </w:r>
    </w:p>
    <w:p>
      <w:pPr>
        <w:pStyle w:val="TextBody"/>
        <w:bidi w:val="0"/>
        <w:spacing w:before="240" w:after="0"/>
        <w:jc w:val="left"/>
        <w:rPr>
          <w:rFonts w:ascii="Times New Roman" w:hAnsi="Times New Roman"/>
          <w:sz w:val="20"/>
        </w:rPr>
      </w:pPr>
      <w:r>
        <w:rPr>
          <w:rFonts w:ascii="Times New Roman" w:hAnsi="Times New Roman"/>
          <w:sz w:val="20"/>
        </w:rPr>
        <w:t xml:space="preserve">(h) to modify, eliminate or add to the provisions of this Indenture to such extent as shall be necessary to effect the qualification of this Indenture under the Trust Indenture Act, or under any similar federal statute hereafter enacted, and to add to this Indenture such other provisions as may be expressly permitted by the Trust Indenture Act, excluding however, the provisions referred to in Section 316(a)(2) of the Trust Indenture Act or any corresponding provision in any similar federal statute hereafter enacted; </w:t>
      </w:r>
    </w:p>
    <w:p>
      <w:pPr>
        <w:pStyle w:val="TextBody"/>
        <w:bidi w:val="0"/>
        <w:spacing w:before="240" w:after="0"/>
        <w:jc w:val="left"/>
        <w:rPr>
          <w:rFonts w:ascii="Times New Roman" w:hAnsi="Times New Roman"/>
          <w:sz w:val="20"/>
        </w:rPr>
      </w:pPr>
      <w:r>
        <w:rPr>
          <w:rFonts w:ascii="Times New Roman" w:hAnsi="Times New Roman"/>
          <w:sz w:val="20"/>
        </w:rPr>
        <w:t xml:space="preserve">(i) to modify, eliminate or add to any of the provisions of this Indenture, provided that any such change or elimination (i) shall become effective only when there is no Security of any series Outstanding and created prior to the execution of such supplemental indenture that is entitled to the benefit of such provision or (ii) shall not apply to any Security Outstanding; </w:t>
      </w:r>
    </w:p>
    <w:p>
      <w:pPr>
        <w:pStyle w:val="TextBody"/>
        <w:bidi w:val="0"/>
        <w:spacing w:before="240" w:after="0"/>
        <w:jc w:val="left"/>
        <w:rPr>
          <w:rFonts w:ascii="Times New Roman" w:hAnsi="Times New Roman"/>
          <w:sz w:val="20"/>
        </w:rPr>
      </w:pPr>
      <w:r>
        <w:rPr>
          <w:rFonts w:ascii="Times New Roman" w:hAnsi="Times New Roman"/>
          <w:sz w:val="20"/>
        </w:rPr>
        <w:t xml:space="preserve">(j) to conform this Indenture or the Securities to the description thereof in the related prospectus, offering memorandum or disclosure document (as provided in an Officer’s Certificate delivered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(k) to cure any ambiguity or to correct or supplement any provision contained herein or in any supplemental indenture which may be defective or inconsistent with any other provisions contained herein or in any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(l) to add guarantees with respect to, or to secure, any series of Security; </w:t>
      </w:r>
    </w:p>
    <w:p>
      <w:pPr>
        <w:pStyle w:val="TextBody"/>
        <w:bidi w:val="0"/>
        <w:spacing w:before="240" w:after="0"/>
        <w:jc w:val="left"/>
        <w:rPr>
          <w:rFonts w:ascii="Times New Roman" w:hAnsi="Times New Roman"/>
          <w:sz w:val="20"/>
        </w:rPr>
      </w:pPr>
      <w:r>
        <w:rPr>
          <w:rFonts w:ascii="Times New Roman" w:hAnsi="Times New Roman"/>
          <w:sz w:val="20"/>
        </w:rPr>
        <w:t xml:space="preserve">(m) to evidence and provide for the acceptance and appointment hereunder by a successor trustee with respect to the Securities of one or more series and to add or change any provisions of this Indenture as shall be necessary to provide for or facilitate the administration of the trusts hereunder by more than one trustee, pursuant to Section 7.11; and </w:t>
      </w:r>
    </w:p>
    <w:p>
      <w:pPr>
        <w:pStyle w:val="TextBody"/>
        <w:bidi w:val="0"/>
        <w:spacing w:before="240" w:after="0"/>
        <w:jc w:val="left"/>
        <w:rPr>
          <w:rFonts w:ascii="Times New Roman" w:hAnsi="Times New Roman"/>
          <w:sz w:val="20"/>
        </w:rPr>
      </w:pPr>
      <w:r>
        <w:rPr>
          <w:rFonts w:ascii="Times New Roman" w:hAnsi="Times New Roman"/>
          <w:sz w:val="20"/>
        </w:rPr>
        <w:t xml:space="preserve">(n) to make any change to the Securities of any series or to make any other provisions in regard to matters or questions arising under this Indenture that do not adversely affect the legal rights under this Indenture of any holder of Securities of any series issued under this Indenture, including provisions necessary or desirable to provide for or facilitate the administration of the trusts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is hereby authorized to join with the Company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adversely affects the Trustee’s own rights, duties or immunities under this Indenture or otherwise. No supplemental indenture shall be effective as against the Trustee unless and until the Trustee has duly executed and delivered the same.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10.02. Supplemental Indentures with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the consent (evidenced as provided in Section 8.01) of the holders of not less than a majority in aggregate principal amount of the Securities of all series at the time Outstanding affected by such supplemental indenture (voting as one class), the Company, when authorized by a Board Resolution, and the Trustee may from time to time and at any time enter into an indenture or indentures supplemental hereto (which shall conform to the provisions of the Trust Indenture Act as in force at the date of the execution thereof) for the purpose of adding any provisions to or changing in any manner or eliminating any of the provisions of this Indenture or of any supplemental indenture or of modifying in any manner the rights of the holders of the Securities of such series under this Indenture; provided, that without the consent of the holder of each Outstanding Security so affected thereby, no such supplemental indenture shall (a) extend the fixed maturity of any Securities, or reduce the principal amount thereof or premium, if any, or reduce the rate or extend the time of payment of interest thereon, (b) reduce the percentage in aggregate principal amount of the Outstanding Securities, the consent of whose holders is required to amend or supplement this Indenture, (c) modify the subordination provisions in a manner adverse to the holders of such Securities, or (d) make any change to the provisions of this Indenture to remove any of the limitations in this paragraph upon the Company or the Trustee.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Company, accompanied by a copy of a Board Resolution certified by the Secretary or an Assistant Secretary of the Company authorizing the execution of any such supplemental indenture, and upon the filing with the Trustee of evidence of the consent of securityholders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securityholders under this Section to approve the particular form of any proposed supplemental indenture, but it shall be sufficient if such consent shall approve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execution by the Company and the Trustee of any supplemental indenture pursuant to the provisions of this Article 10, the Company shall provide notice, in the manner and to the extent provided in Section 15.04, setting forth in general terms the substance of such supplemental indenture, to all holders of Securities of each series so affected. Any failure of the Company so to provide such notice, or any defect therein, shall not, however, in any way impair or affect the validity of any such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10.03. Compliance with Trust Indenture Act; Effect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supplemental indenture executed pursuant to the provisions of this Article 10 shall comply with the Trust Indenture Act, as then in effect. Upon the execution of any supplemental indenture pursuant to the provisions of this Article 10 and subject to the provisions in any supplemental indenture relating to the prospective application of such instrument, this Indenture shall be and be deemed to be modified and amended in accordance therewith and the respective rights, limitations of rights, obligations, duties and immunities under this Indenture of the Trustee, the Company and the holders of Securities theretofore or thereafter authenticated and delivered hereunder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t>
      </w:r>
    </w:p>
    <w:p>
      <w:pPr>
        <w:pStyle w:val="TextBody"/>
        <w:bidi w:val="0"/>
        <w:spacing w:before="240" w:after="0"/>
        <w:jc w:val="left"/>
        <w:rPr>
          <w:rFonts w:ascii="Times New Roman" w:hAnsi="Times New Roman"/>
          <w:sz w:val="20"/>
        </w:rPr>
      </w:pPr>
      <w:r>
        <w:rPr>
          <w:rFonts w:ascii="Times New Roman" w:hAnsi="Times New Roman"/>
          <w:sz w:val="20"/>
        </w:rPr>
        <w:t xml:space="preserve">The Trustee, subject to the provisions of Section 7.01 and Section 7.02, shall be entitled to receive and shall be fully protected in relying upon an Officer’s Certificate and Opinion of Counsel as conclusive evidence that any such supplemental indenture complies with the provisions of this Article 10 and that all conditions precedent thereto have been satisfied.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10.04. Notation on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series authenticated and delivered after the execution of any supplemental indenture pursuant to the provisions of this Article 10 may bear a notation in form approved by the Company as to any matter provided for in such supplemental indenture. New Securities of any series so modified as to conform, in the opinion of the Company and the Board of Directors, to any modification of this Indenture contained in any such supplemental indenture may be prepared by the Company, authenticated by the Trustee and delivered, without charge to the securityholders, in exchange for the Securities of such series then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10.05. Trustee to Sign Supplemental Indentures, Etc.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sign any indenture or supplemental indenture authorized pursuant to this Article 10 if the indenture or supplement indenture does not adversely affect the rights, duties, liabilities, indemnities or immunities of the Trustee. If it does, the Trustee may, but need not sign it. In signing such indenture or supplemental indenture, the Trustee shall be provided with, and (subject to Section 7.01) shall be fully protected in relying upon, an Officer’s Certificate and an Opinion of Counsel stating that such amendment or supplement is authorized or permitted pursuant to this Indenture and that the conditions precedent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CONSOLIDATION, MERGER, SALE OR CONVEYANCE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11.01. Company May Consolidate, etc., on Certain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that it will not merge into or consolidate with any other corporation or sell or convey all or substantially all of its assets to any person, firm or corporation, unless (a) either the Company shall be the continuing corporation, or the successor corporation (if other than the Company) shall be a corporation organized and existing under the laws of the United States of America or a state thereof or the District of Columbia and such corporation shall expressly assume the due and punctual payment of the principal of (and premium, if any, on) and any interest on all the Securities, according to their tenor, and the due and punctual performance and observance of all of the covenants and conditions of this Indenture to be performed by the Company by supplemental indenture in form satisfactory to the Trustee, executed and delivered to the Trustee by such corporation, and (b) the Company or such successor corporation, as the case may be, shall not, immediately after such merger or consolidation, or such sale or conveyance, be in default in the performance of any such covenant or condition.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11.02. Successor Corporation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such consolidation, merger, sale or conveyance and upon any such assumption by the successor corporation, such successor corporation shall succeed to and be substituted for, and may exercise every right and power of, the Company, with the same effect as if it had been named herein as the party of the first part.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make available for delivery any Securities which previously shall have been signed and delivered by an Authorized Officer of the Company to the Trustee for authentication, and any Securities which such successor corporation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thereof.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such consolidation, merger, sale or conveyance such changes in phraseology and form (but not in substance) may be made in the Securities thereafter to be issued as may be appropriate.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11.03. Opinion of Counsel and Officer</w:t>
      </w:r>
      <w:r>
        <w:rPr>
          <w:rFonts w:ascii="Times New Roman" w:hAnsi="Times New Roman"/>
          <w:sz w:val="20"/>
        </w:rPr>
        <w:t>’</w:t>
      </w:r>
      <w:r>
        <w:rPr>
          <w:rFonts w:ascii="Times New Roman" w:hAnsi="Times New Roman"/>
          <w:b/>
          <w:sz w:val="20"/>
        </w:rPr>
        <w:t>s Certificate to be Given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receive an Opinion of Counsel and Officer’s Certificate as conclusive evidence that any such consolidation, merger, sale or conveyance, and any such assumption (and any supplemental indenture executed pursuant to this Article 11), complies with the provisions of this Article 11 and that all conditions precedent herein provided for relating to such transaction (and the execution of any supplemental indenture) have been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0" w:after="0"/>
        <w:jc w:val="center"/>
        <w:rPr>
          <w:rFonts w:ascii="Times New Roman" w:hAnsi="Times New Roman"/>
          <w:b/>
          <w:sz w:val="20"/>
        </w:rPr>
      </w:pPr>
      <w:r>
        <w:rPr>
          <w:rFonts w:ascii="Times New Roman" w:hAnsi="Times New Roman"/>
          <w:b/>
          <w:sz w:val="20"/>
        </w:rPr>
        <w:t xml:space="preserve">SATISFACTION AND DISCHARGE OF INDENTURE; UNCLAIMED MONEYS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12.01. Discharge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w:t>
      </w:r>
    </w:p>
    <w:p>
      <w:pPr>
        <w:pStyle w:val="TextBody"/>
        <w:bidi w:val="0"/>
        <w:spacing w:before="240" w:after="0"/>
        <w:jc w:val="left"/>
        <w:rPr>
          <w:rFonts w:ascii="Times New Roman" w:hAnsi="Times New Roman"/>
          <w:sz w:val="20"/>
        </w:rPr>
      </w:pPr>
      <w:r>
        <w:rPr>
          <w:rFonts w:ascii="Times New Roman" w:hAnsi="Times New Roman"/>
          <w:sz w:val="20"/>
        </w:rPr>
        <w:t xml:space="preserve">(a) (1) the Company shall have delivered to the Trustee for cancellation all Securities of any series theretofore authenticated (other than (i) Securities that have been destroyed, lost or stolen and that have been replaced or paid as provided in Section 2.09, and (ii) Securities for whose payment money has theretofore been deposited in trust or segregated and held in trust by the Company and thereafter repaid to the Company or discharged from such trust, as provided in Section 4.03), or </w:t>
      </w:r>
    </w:p>
    <w:p>
      <w:pPr>
        <w:pStyle w:val="TextBody"/>
        <w:bidi w:val="0"/>
        <w:spacing w:before="240" w:after="0"/>
        <w:jc w:val="left"/>
        <w:rPr>
          <w:rFonts w:ascii="Times New Roman" w:hAnsi="Times New Roman"/>
          <w:sz w:val="20"/>
        </w:rPr>
      </w:pPr>
      <w:r>
        <w:rPr>
          <w:rFonts w:ascii="Times New Roman" w:hAnsi="Times New Roman"/>
          <w:sz w:val="20"/>
        </w:rPr>
        <w:t xml:space="preserve">(2) all such Securities of such series not theretofore delivered to the Trustee for cancellation (i) shall have become due and payable, or (ii) are by their terms to become due and payable within one year, or (iii) are to be called for redemption within one year under arrangements satisfactory to the Trustee for the giving of notice of redemption, and the Company in the case of (i), (ii) or (iii) above shall deposit or cause to be deposited with the Trustee as trust funds the entire amount (other than moneys repaid by the Trustee or any paying agent to the Company in accordance with Section 12.04) sufficient to pay at maturity or upon redemption all Securities of such series not therefore delivered to the Trustee for cancellation, including principal (and premium, if any) and any interest due or to become due to such date of maturity or date fixed for redemption,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paid or caused to be paid all other sums payable hereunder by the Company with respect to such Series, and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delivered to the Trustee an Officer’s Certificate and an Opinion of Counsel, each stating that all conditions precedent herein provided for relating to the satisfaction and discharge of this Indenture with respect to such Series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then this Indenture shall cease to be of further effect with respect to the Securities of such series (except as to any surviving rights of conversion, registration of transfer or exchange of any such Security expressly provided for herein or in the terms of such Security), and the Trustee, on demand of and at the cost and expense of the Company and subject to Section 15.05, shall execute proper instruments acknowledging satisfaction of and discharging this Indenture with respect to the Securities of such series. The Company agrees to reimburse the Trustee for any costs or expenses thereafter reasonably and properly incurred by the Trustee in connection with this Indenture or the Securities of such series. Notwithstanding the satisfaction and discharge of this Indenture with respect to the Securities of any series or of all series, the obligations of the Company to the Trustee under Section 7.06 shall survive.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12.02. Deposited Moneys to be Held in Trust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Sections 12.03 and 12.04, all moneys deposited with the Trustee pursuant to Section 12.01 shall be held in trust and applied by it to the payment, either directly or through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paying agent (including the Company acting as its own paying agent), to the persons entitled thereto, of all sums due and to become due thereon for principal and interest (and premium, if any) for which payment of such money has been deposited with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12.03. Paying Agent to Repay Moneys Held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satisfaction and discharge of this Indenture with respect to Securities of any series and the payment of all amounts due to the Trustee under Section 7.06, all moneys with respect to such Securities then held by any paying agent under the provisions of this Indenture shall, upon written demand of the Company, be repaid to it or paid to the Trustee and thereupon such paying agent shall be released from all further liability with respect to such moneys.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12.04. Return of Unclaimed Moneys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applicable law, any moneys deposited with or paid to the Trustee or any paying agent for the payment of the principal of (and premium, if any) or interest on any Security and not applied but remaining unclaimed for two years after the date upon which such principal (and premium, if any, on) or interest shall have become due and payable, shall be repaid to the Company by the Trustee or such paying agent upon written request from the Company, and the holder of such Security shall thereafter, as an unsecured general creditor, look only to the Company for any payment which such holder may be entitled to collect and all liability of the Trustee or any paying agent with respect to such moneys shall thereupon cease.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0" w:after="0"/>
        <w:jc w:val="center"/>
        <w:rPr>
          <w:rFonts w:ascii="Times New Roman" w:hAnsi="Times New Roman"/>
          <w:b/>
          <w:sz w:val="20"/>
        </w:rPr>
      </w:pPr>
      <w:r>
        <w:rPr>
          <w:rFonts w:ascii="Times New Roman" w:hAnsi="Times New Roman"/>
          <w:b/>
          <w:sz w:val="20"/>
        </w:rPr>
        <w:t xml:space="preserve">IMMUNITY OF INCORPORATORS, STOCKHOLDERS, OFFICERS AND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13.01. Indenture and Securities Solely Corporate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recourse for the payment of the principal of or interest on any Security, for any claim based thereon, or otherwise in respect thereof, shall be had against any incorporator, shareholder, officer, director, employee or agent, as such, past, present or future, of the Company or of any successor corporation, it being expressly understood that all such liability is hereby expressly waived and released as a condition of, and as a consideration for, the execution of this Indenture and the issue of any Security.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14 </w:t>
      </w:r>
    </w:p>
    <w:p>
      <w:pPr>
        <w:pStyle w:val="TextBody"/>
        <w:bidi w:val="0"/>
        <w:spacing w:before="0" w:after="0"/>
        <w:jc w:val="center"/>
        <w:rPr>
          <w:rFonts w:ascii="Times New Roman" w:hAnsi="Times New Roman"/>
          <w:b/>
          <w:sz w:val="20"/>
        </w:rPr>
      </w:pPr>
      <w:r>
        <w:rPr>
          <w:rFonts w:ascii="Times New Roman" w:hAnsi="Times New Roman"/>
          <w:b/>
          <w:sz w:val="20"/>
        </w:rPr>
        <w:t xml:space="preserve">DEFEASANCE AND COVENANT DEFEASANCE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14.01. Applicability of Article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as specified pursuant to Section 2.03, provision is made that either or both of (a) defeasance of the Securities of a series under Section 14.02 and (b) covenant defeasance of the Securities of a series under Section 14.03 shall not apply to the Securities of a series, then the provisions of such Section 14.02 and Section 14.03, together with Section 14.04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14.05, shall be applicable to the Outstanding Securities of all series upon compliance with the conditions set forth below in this Article 14.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14.02. Defeasance and Discharge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14.05, the Company may cause itself to be discharged from its obligations with respect to the Outstanding Securities of any series on and after the date the conditions precedent set forth below are satisfied but subject to satisfaction of the conditions subsequent set forth below (hereinafter, “defeasance”). For this purpose, such defeasance means that the Company shall be deemed to have paid and discharged the entire indebtedness represented by the Outstanding Securities of such series and to have satisfied all its other obligations under such Securities and this Indenture insofar as such Securities are concerned (and the Trustee, at the expense of the Company, shall execute proper instruments acknowledging the same), except for the following which shall survive until otherwise terminated or discharged hereunder: (a) the rights of holders of Outstanding Securities of such series to receive, solely from the trust fund described in Section 14.04 and as more fully set forth in such Section, payments of the principal of and any premium and interest on such Securities when such payments are due, (b) the Company’s obligations with respect to such Securities under Section 2.07, Section 2.08, Section 2.09, Section 4.02 and Section 4.03 and such obligations as shall be ancillary thereto, (c) the rights, powers, trusts, duties, immunities and other provisions in respect of the Trustee hereunder, and the Company’s obligations with respect thereto, and (d) this Article 14. Subject to compliance with this Article 14, defeasance with respect to Securities of a series by the Company is permitted under this Section 14.02 notwithstanding the prior exercise of its rights under Section 14.03 with respect to the Securities of such series. Following a defeasance, payment of the Securities of such series may not be accelerated because of an Event of Default.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14.03. 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cause itself to be released from its obligations under any Sections applicable to Securities of a series that are determined pursuant to Section 2.03 to be subject to this provision with respect to the Outstanding Securities of such series on and after the date the conditions precedent set forth below are satisfied but subject to satisfaction of the conditions subsequent set forth below (hereinafter, “covenant defeasance”). For this purpose, such covenant defeasance means that, with respect to the Outstanding Securities of such series, the Company may omit to comply with and shall have no liability in respect of any term, condition or limitation set forth in any such Section,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14.04. Conditions to Defeasance or 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shall be the conditions precedent or, as specifically noted below, subsequent to application of either Section 14.02 or Section 14.03 to the Outstanding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Company shall irrevocably have deposited or caused to be deposited with the Trustee as trust funds in trust for the purpose of making the following payments, specifically pledged as security for, and dedicated solely to, the benefit of the holders of such Securities, (i) money in an amount, or (ii) U.S. Government Obligations which through the scheduled payment of principal and interest in respect thereof in accordance with their terms will provide, not later than one day before the due date of any payment, money in an amount, or (iii) a combination thereof, sufficient, without reinvestment, in the opinion of a nationally recognized firm of independent public accountants expressed in a written certification thereof delivered to the Trustee, to pay and discharge, and which shall be applied by the Trustee to pay and discharge, (1) the principal of and any premium and interest on the Outstanding Securities of such series to maturity or redemption, as the case may be, and (2) any mandatory sinking fund payments or analogous payments applicable to the Outstanding Securities of such series on the due dates thereof. Before such a deposit the Company may make arrangements satisfactory to the Trustee for the redemption of Securities at a future date or dates in accordance with Article 3 which shall be given effect in applying the foregoing. For this purpose, “U.S. Government Obligations” means securities that are (x) direct obligations of the United States of America for the payment of which its full faith and credit is pledged or (y) obligations of a person controlled or supervised by and acting as an agency or instrumentality of the United States of America the payment of which is unconditionally guaranteed as a full faith and credit obligation by the United States of America, which, in either case, are not callable or redeemable at the option of the issuer thereof, and shall also include a depository receipt issued by a bank (as defined in Section 3(a)(2) of the Securities Act) as custodian with respect to any such U.S. Government Obligation or a specific payment of principal of or interest on any such U.S. Government Obligation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principal of or interest on the U.S. Government Obligation evidenced by such depository receipt; </w:t>
      </w:r>
    </w:p>
    <w:p>
      <w:pPr>
        <w:pStyle w:val="TextBody"/>
        <w:bidi w:val="0"/>
        <w:spacing w:before="240" w:after="0"/>
        <w:jc w:val="left"/>
        <w:rPr>
          <w:rFonts w:ascii="Times New Roman" w:hAnsi="Times New Roman"/>
          <w:sz w:val="20"/>
        </w:rPr>
      </w:pPr>
      <w:r>
        <w:rPr>
          <w:rFonts w:ascii="Times New Roman" w:hAnsi="Times New Roman"/>
          <w:sz w:val="20"/>
        </w:rPr>
        <w:t xml:space="preserve">(b) No default, or event that after notice or lapse of time, or both, would become a default with respect to the Securities of such series, shall have happened and be continuing (i) on the date of such deposit or (ii) insofar as Section 6.01(d) and Section 6.01(e) are concerned, at any time during the period ending on the 123rd day after the date of such deposit or, if longer, ending on the day following the expiration of the longest preference period applicable to the Company in respect of such deposit (it being understood that the condition in this clause (b) is a condition subsequent and shall not be deemed satisfied until the expiration of such period); </w:t>
      </w:r>
    </w:p>
    <w:p>
      <w:pPr>
        <w:pStyle w:val="TextBody"/>
        <w:bidi w:val="0"/>
        <w:spacing w:before="240" w:after="0"/>
        <w:jc w:val="left"/>
        <w:rPr>
          <w:rFonts w:ascii="Times New Roman" w:hAnsi="Times New Roman"/>
          <w:sz w:val="20"/>
        </w:rPr>
      </w:pPr>
      <w:r>
        <w:rPr>
          <w:rFonts w:ascii="Times New Roman" w:hAnsi="Times New Roman"/>
          <w:sz w:val="20"/>
        </w:rPr>
        <w:t xml:space="preserve">(c) Such defeasance or covenant defeasance shall not (i) cause the Trustee for the Securities of such series to have a conflicting interest as defined in Section 7.08 or for purposes of the Trust Indenture Act with respect to any securities of the Company or (ii) result in the trust arising from such deposit to constitute, unless it is qualified as, a regulated investment company under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(d) Such defeasance or covenant defeasance shall not result in a breach or violation of, or constitute a default under, this Indenture or any other agreement or instrument to which the Company is a party or by which it is bound;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Such defeasance or covenant defeasance shall not cause any Securities of such series then listed on any registered national securities exchange under the Exchange Act to be delisted; </w:t>
      </w:r>
    </w:p>
    <w:p>
      <w:pPr>
        <w:pStyle w:val="TextBody"/>
        <w:bidi w:val="0"/>
        <w:spacing w:before="240" w:after="0"/>
        <w:jc w:val="left"/>
        <w:rPr>
          <w:rFonts w:ascii="Times New Roman" w:hAnsi="Times New Roman"/>
          <w:sz w:val="20"/>
        </w:rPr>
      </w:pPr>
      <w:r>
        <w:rPr>
          <w:rFonts w:ascii="Times New Roman" w:hAnsi="Times New Roman"/>
          <w:sz w:val="20"/>
        </w:rPr>
        <w:t xml:space="preserve">(f) In the case of a defeasance under Section 14.02, the Company shall have delivered to the Trustee an Opinion of Counsel stating that (x) the Company has received from, or there has been published by, the Internal Revenue Service a ruling, or (y) since the date of this Indenture there has been a change in the applicable federal income tax law, in either case to the effect that, and based thereon such opinion shall confirm that, the holders of the Outstanding Securities of such series will not recognize income, gain or loss for federal income tax purposes as a result of such defeasance and will be subject to federal income tax on the same amounts, in the same manner and at the same times as would have been the case if such defeasance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(g) In the case of covenant defeasance under Section 14.03, the Company shall have delivered to the Trustee an Opinion of Counsel to the effect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(h) Such defeasance or covenant defeasance shall be effected in compliance with any additional terms, conditions or limitations which may be imposed on the Company in connection therewith pursuant to Section 2.03; and </w:t>
      </w:r>
    </w:p>
    <w:p>
      <w:pPr>
        <w:pStyle w:val="TextBody"/>
        <w:bidi w:val="0"/>
        <w:spacing w:before="240" w:after="0"/>
        <w:jc w:val="left"/>
        <w:rPr>
          <w:rFonts w:ascii="Times New Roman" w:hAnsi="Times New Roman"/>
          <w:sz w:val="20"/>
        </w:rPr>
      </w:pPr>
      <w:r>
        <w:rPr>
          <w:rFonts w:ascii="Times New Roman" w:hAnsi="Times New Roman"/>
          <w:sz w:val="20"/>
        </w:rPr>
        <w:t xml:space="preserve">(i) The Company shall have delivered to the Trustee an Officer’s Certificate and an Opinion of Counsel, each stating that all conditions precedent and subsequent provided for in this Indenture relating to either the defeasance under Section 14.02 or the covenant defeasance under Section 14.03, as the case may be, have been complied with.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14.05. Deposited Money and U.S. Government Obligations to be Held in Trust; Other 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All money and U.S. Government Obligations (including the proceeds thereof) deposited with the Trustee pursuant to Section 14.04 in respect of the Outstanding Securities of such series shall be held in trust and applied by the Trustee, in accordance with the provisions of such Securities and this Indenture, to the payment, either directly or through any paying agent (but not including the Company acting as its own paying agent) as the Trustee may determine, to the holders of such Securities of all sums due and to become due thereon in respect of principal and any premium and interest, but such money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and indemnify the Trustee against any tax, fee or other charge imposed on or assessed against the money or U.S. Government Obligations deposited pursuant to Section 14.04 or the principal and interest received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Anything herein to the contrary notwithstanding, the Trustee shall deliver or pay to the Company from time to time upon Company Request any money or U.S. Government Obligations held by it as provided in Section 14.04 which, in the opinion of a nationally recognized firm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independent public accountants expressed in a written certification thereof delivered to the Trustee, are in excess of the amount thereof which would then be required to be deposited to effect an equivalent defeasance or covenant defeasance, provided that the Trustee shall not be required to liquidate any U.S. Government Obligations in order to comply with the provisions of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Anything herein to the contrary notwithstanding, if and to the extent the deposited money or U.S. Government Obligations (or the proceeds thereof) either (i) cannot be applied by the Trustee in accordance with this Section because of a court order or by operation of Article 16 or (ii) are for any reason insufficient in amount, then the Company’s obligations to pay principal of and any premium and interest on the Securities of such series shall be reinstated to the extent necessary to cover the deficiency on any due date for payment. In any such case, the Company’s interest in the deposited money and U.S. Government Obligations (and proceeds thereof) shall be reinstated to the extent the Company’s payment obligations are reinstated.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15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15.01. Benefits of Indenture Restricted to Parties and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Indenture or in the Securities, expressed or implied, shall give or be construed to give to any person, firm or corporation, other than the parties hereto and their successors and assigns and the holders of the Securities (and, with respect to the provisions of Article 16, the holders of Senior Indebtedness), any legal or equitable right, remedy or claim under this Indenture or under any covenant or provision herein contained, all such covenants and provisions being for the sole benefit of the parties hereto and their successors and assigns and the holders of the Securities (and, with respect to the provisions of Article 16, the holders of Senior Indebtedness).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15.02. Provisions Binding on Company</w:t>
      </w:r>
      <w:r>
        <w:rPr>
          <w:rFonts w:ascii="Times New Roman" w:hAnsi="Times New Roman"/>
          <w:sz w:val="20"/>
        </w:rPr>
        <w:t>’</w:t>
      </w:r>
      <w:r>
        <w:rPr>
          <w:rFonts w:ascii="Times New Roman" w:hAnsi="Times New Roman"/>
          <w:b/>
          <w:sz w:val="20"/>
        </w:rPr>
        <w:t>s Successors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the covenants, stipulations, promises and agreements in this Indenture contained by or in behalf of the Company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15.03. Addresses for Notices, etc., to Company and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request, demand, authorization, direction, notice, consent, waiver or other document provided or permitted by this Indenture is duly given if in writing and delivered in person or delivered by first-class postage prepaid mail, facsimile, email or overnight air courier guaranteeing next day delivery, to the other’s address: </w:t>
      </w:r>
    </w:p>
    <w:p>
      <w:pPr>
        <w:pStyle w:val="TextBody"/>
        <w:bidi w:val="0"/>
        <w:spacing w:before="240" w:after="0"/>
        <w:jc w:val="left"/>
        <w:rPr>
          <w:rFonts w:ascii="Times New Roman" w:hAnsi="Times New Roman"/>
          <w:sz w:val="20"/>
        </w:rPr>
      </w:pPr>
      <w:r>
        <w:rPr>
          <w:rFonts w:ascii="Times New Roman" w:hAnsi="Times New Roman"/>
          <w:sz w:val="20"/>
        </w:rPr>
        <w:t xml:space="preserve">(1) If to the Trustee, addressed to the Trustee at the principal Corporate Trust Office of the Trustee, [], Attention [], Phone: [], 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If to the Company by the Trustee or by the holders of Securities, addressed to it at 200 East Jackson Street, Muncie, Indiana 47305-2814, Attention: Brian T. Hunt, Esq., Email: bhunt@firstmerchants.com.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the Trustee by written notice to the other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All notices and communications will be deemed to have been duly given: five Business Days after being deposited in the mail, postage prepaid, if delivered by mail; on the first Business Day after being sent, if sent by facsimile and the sender receives confirmation of successful transmission; upon confirmation of transmittal (but excluding any automatic reply to such email), if sent by email; and the next Business Day after timely delivery to the courier, if sent by overnight air courier guaranteeing next day delivery.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15.04. Notice to Holders of Securities; Waiver.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expressly provided herein, where this Indenture provides for notice of holders of Securities of any event, such notice shall be sufficiently given to holders of Registered Securities if in writing and mailed, first-class postage prepaid, to each holder of a Registered Security affected by such event, at the address of such holder as it appears in the Security Register, not earlier than the earliest date, and not later than the latest date, prescribed for the giving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In case by reason of the suspension of regular mail service or by reason of any other cause it shall be impracticable to give such notice to holders of Registered Securities by mail, then such notification as shall be made with the approval of the Trustee shall constitute sufficient notice to such holders for every purpose hereunder. In any case where notice to holders of Registered Securities is given by mail, neither the failure to mail such notice, nor any defect in any notice so mailed, to any particular holder of a Registered Security shall affect the sufficiency of such notice with respect to other holders of Registered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or any Security, where this Indenture or any Security provides for notice of any event (including any notice of redemption) to a Holder of a global Security (whether by mail or otherwise), such notice shall be sufficiently given when delivered to the Depositary for such Security (or its designee) pursuant to the customary procedures of such Depositary. </w:t>
      </w:r>
    </w:p>
    <w:p>
      <w:pPr>
        <w:pStyle w:val="TextBody"/>
        <w:bidi w:val="0"/>
        <w:spacing w:before="240" w:after="0"/>
        <w:jc w:val="left"/>
        <w:rPr>
          <w:rFonts w:ascii="Times New Roman" w:hAnsi="Times New Roman"/>
          <w:sz w:val="20"/>
        </w:rPr>
      </w:pPr>
      <w:r>
        <w:rPr>
          <w:rFonts w:ascii="Times New Roman" w:hAnsi="Times New Roman"/>
          <w:sz w:val="20"/>
        </w:rPr>
        <w:t xml:space="preserve">Where this Indenture provides for notice in any manner, such notice may be waived in writing by the person entitled to receive such notice, either before or after the event, and such waiver shall be the equivalent of such notice. Waivers of notice by holders of Securities shall be filed with the Trustee, but such filing shall not be a condition precedent to the validity of any action taken in reliance upon such waiver. </w:t>
      </w:r>
    </w:p>
    <w:p>
      <w:pPr>
        <w:pStyle w:val="TextBody"/>
        <w:bidi w:val="0"/>
        <w:spacing w:before="240" w:after="0"/>
        <w:jc w:val="left"/>
        <w:rPr>
          <w:rFonts w:ascii="Times New Roman" w:hAnsi="Times New Roman"/>
          <w:sz w:val="20"/>
        </w:rPr>
      </w:pPr>
      <w:r>
        <w:rPr>
          <w:rFonts w:ascii="Times New Roman" w:hAnsi="Times New Roman"/>
          <w:sz w:val="20"/>
        </w:rPr>
        <w:t xml:space="preserve">Any request, demand, authorization, direction, notice, consent or waiver required or permitted under this Indenture shall be in the English language.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15.05. Evidence of Compliance with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Upon any application or demand by the Company to the Trustee to take any action under any of the provisions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 </w:t>
      </w:r>
    </w:p>
    <w:p>
      <w:pPr>
        <w:pStyle w:val="TextBody"/>
        <w:bidi w:val="0"/>
        <w:spacing w:before="240" w:after="0"/>
        <w:jc w:val="left"/>
        <w:rPr>
          <w:rFonts w:ascii="Times New Roman" w:hAnsi="Times New Roman"/>
          <w:sz w:val="20"/>
        </w:rPr>
      </w:pPr>
      <w:r>
        <w:rPr>
          <w:rFonts w:ascii="Times New Roman" w:hAnsi="Times New Roman"/>
          <w:sz w:val="20"/>
        </w:rPr>
        <w:t xml:space="preserve">Each Officer’s Certificate and Opinion of Counsel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15.06. Legal Holidays. </w:t>
      </w:r>
    </w:p>
    <w:p>
      <w:pPr>
        <w:pStyle w:val="TextBody"/>
        <w:bidi w:val="0"/>
        <w:spacing w:before="240" w:after="0"/>
        <w:jc w:val="left"/>
        <w:rPr>
          <w:rFonts w:ascii="Times New Roman" w:hAnsi="Times New Roman"/>
          <w:sz w:val="20"/>
        </w:rPr>
      </w:pPr>
      <w:r>
        <w:rPr>
          <w:rFonts w:ascii="Times New Roman" w:hAnsi="Times New Roman"/>
          <w:sz w:val="20"/>
        </w:rPr>
        <w:t xml:space="preserve">In any case where the date of maturity of interest on or principal of the Securities or the date fixed for redemption of any Securities shall not be a Business Day in the city of New York, New York or in such other Place of Payment as the Company may designate pursuant to Section 4.02, then payment of interest or principal (and premium, if any) need not be made on such date but may be made on the next succeeding Business Day with the same force and effect as if made on the date of maturity or the date fixed for redemption, and no interest shall accrue for the period after such date.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15.07. Trust Indenture Act to Control.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that any provision of this Indenture limits, qualifies or conflicts with another provision which is required or deemed to be included in this Indenture by any of Sections 310 to 317, inclusive, of the Trust Indenture Act, such required or deemed provision shall control. If any provision of this Indenture modifies or excludes any provision of the Trust Indenture Act which may be so modified or excluded, the latter provision shall be deemed to apply to this Indenture as so modified or to be excluded, as the case may be.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15.08. Execution in Counterparts. </w:t>
      </w:r>
    </w:p>
    <w:p>
      <w:pPr>
        <w:pStyle w:val="TextBody"/>
        <w:bidi w:val="0"/>
        <w:spacing w:before="240" w:after="0"/>
        <w:jc w:val="left"/>
        <w:rPr>
          <w:rFonts w:ascii="Times New Roman" w:hAnsi="Times New Roman"/>
          <w:sz w:val="20"/>
        </w:rPr>
      </w:pPr>
      <w:r>
        <w:rPr>
          <w:rFonts w:ascii="Times New Roman" w:hAnsi="Times New Roman"/>
          <w:sz w:val="20"/>
        </w:rPr>
        <w:t>This Indenture may be executed in any number of counterparts, each of which shall be an original; but such counterparts shall together constitute but one and the same instrument. The exchange of copies of this Indenture and of signature pages by facsimile or electronic format (</w:t>
      </w:r>
      <w:r>
        <w:rPr>
          <w:rFonts w:ascii="Times New Roman" w:hAnsi="Times New Roman"/>
          <w:i/>
          <w:sz w:val="20"/>
        </w:rPr>
        <w:t>e.g</w:t>
      </w:r>
      <w:r>
        <w:rPr>
          <w:rFonts w:ascii="Times New Roman" w:hAnsi="Times New Roman"/>
          <w:sz w:val="20"/>
        </w:rPr>
        <w:t xml:space="preserve">., “.pdf” or “.tif”) transmission will constitute effective execution and delivery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Indenture as to the parties hereto and may be used in lieu of the original Indenture for all purposes. Signatures of the parties hereto transmitted by facsimile or electronic format (e.g., “.pdf” or “.tif”) will be deemed to be their original signatures for all purposes. Unless otherwise provided herein or in any other Securities, the words “execute”, “execution”, “signed”, and “signature” and words of similar import used in or related to any document to be signed in connection with this Indenture, any other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under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such Trustee pursuant to procedures approved by such Trustee.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15.09. Governing Law; Waiver of Jury Trial.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AND EACH SECURITY SHALL BE DEEMED TO BE A CONTRACT MADE UNDER THE LAWS OF THE STATE OF NEW YORK, AND FOR ALL PURPOSES SHALL BE GOVERNED BY AND CONSTRUED IN ACCORDANCE WITH THE LAW OF THE STATE OF NEW YORK BUT WITHOUT GIVING EFFECT TO APPLICABLE PRINCIPLES OF CONFLICTS OF LAW TO THE EXTENT THE APPLICATION OF THE LAWS OF ANOTHER JURISDICTION WOULD BE REQUIRED THEREBY (OTHER THAN SECTIONS 5-1401 AND 5-1402 OF THE NEW YORK GENERAL OBLIGATIONS LAW). EACH OF THE COMPANY AND THE TRUSTEE HEREBY IRREVOCABLY WAIVES, TO THE FULLEST EXTENT PERMITTED BY APPLICABLE LAW, ANY AND ALL RIGHT TO TRIAL BY JURY IN ANY LEGAL PROCEEDING ARISING OUT OF OR RELATING TO THIS INDENTURE, THE SECURITIES OR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hereby (i) irrevocably submit to the non-exclusive jurisdiction of any federal or state court sitting in the Borough of Manhattan, the City of New York, (ii) waive any objection to laying of venue in any such action or proceeding in such courts, and (iii) waive any objection that such courts are an inconvenient forum or do not have jurisdiction over any party, in each, case, in any legal proceeding arising out of or related to this Indenture, the Securities or the transactions contemplated hereby or thereby.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15.10. Severability; Entire Agreement. </w:t>
      </w:r>
    </w:p>
    <w:p>
      <w:pPr>
        <w:pStyle w:val="TextBody"/>
        <w:bidi w:val="0"/>
        <w:spacing w:before="240" w:after="0"/>
        <w:jc w:val="left"/>
        <w:rPr>
          <w:rFonts w:ascii="Times New Roman" w:hAnsi="Times New Roman"/>
          <w:sz w:val="20"/>
        </w:rPr>
      </w:pPr>
      <w:r>
        <w:rPr>
          <w:rFonts w:ascii="Times New Roman" w:hAnsi="Times New Roman"/>
          <w:sz w:val="20"/>
        </w:rPr>
        <w:t xml:space="preserve">In case any provision in this Indenture or in the Securities shall be invalid, illegal or unenforceable, the validity, legality and enforceability of the remaining provisions shall not in any way be affected or impaired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by its execution of this Indenture, hereby accepts the trusts in this Indenture declared and provided, upon the terms and conditions hereinabove set forth. This Indenture, any supplemental indenture hereto and the exhibits hereto or thereto set forth the entire agreement and understanding of the parties related to this transaction and supersedes all prior agreements and understandings, oral or written.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15.11. Interpretations.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not be used to interpret any other indenture, loan or debt agreement of the Company or its Subsidiaries or of any other Person. Any such indenture, loan or debt agreement may not be used to interpret this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15.12.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Title III of the Uniting and Strengthening America by Providing Appropriate Tools Required to Intercept and Obstruct Terrorism Act of 2001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16 </w:t>
      </w:r>
    </w:p>
    <w:p>
      <w:pPr>
        <w:pStyle w:val="TextBody"/>
        <w:bidi w:val="0"/>
        <w:spacing w:before="0" w:after="0"/>
        <w:jc w:val="center"/>
        <w:rPr>
          <w:rFonts w:ascii="Times New Roman" w:hAnsi="Times New Roman"/>
          <w:b/>
          <w:sz w:val="20"/>
        </w:rPr>
      </w:pPr>
      <w:r>
        <w:rPr>
          <w:rFonts w:ascii="Times New Roman" w:hAnsi="Times New Roman"/>
          <w:b/>
          <w:sz w:val="20"/>
        </w:rPr>
        <w:t xml:space="preserve">SUBORDINATION OF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16.01. Securities Subordinate to Senior Indebtedness.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a supplemental indenture or pursuant to Section 2.03, the Company agrees, and each holder by accepting a Security agrees, that the indebtedness evidenced by the Securities is subordinated in right of payment, to the extent and in the manner provided in this Article, to the prior payment in full of all Senior Indebtedness and that the subordination is for the benefit of the holders of Senior Indebtedness. Notwithstanding the foregoing, if a deposit is made pursuant to Section 14.02 or Section 14.03 with respect to any Securities (and provided all other conditions set out in Section 14.02 or 14.03, as applicable, shall have been satisfied with respect to such Securities), then, when the 90th day after such deposit has ended, no money obligations so deposited, and no proceeds thereon, will be subject to any rights of holders of Senior Indebtedness, including any such rights arising under this Article 16.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53"/>
        <w:gridCol w:w="97"/>
        <w:gridCol w:w="3432"/>
      </w:tblGrid>
      <w:tr>
        <w:trPr/>
        <w:tc>
          <w:tcPr>
            <w:tcW w:w="553"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34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FIRST MERCHANTS CORPORATION</w:t>
            </w:r>
          </w:p>
        </w:tc>
      </w:tr>
      <w:tr>
        <w:trPr>
          <w:trHeight w:val="240" w:hRule="atLeast"/>
        </w:trPr>
        <w:tc>
          <w:tcPr>
            <w:tcW w:w="553" w:type="dxa"/>
            <w:tcBorders/>
            <w:vAlign w:val="center"/>
          </w:tcPr>
          <w:p>
            <w:pPr>
              <w:pStyle w:val="TableContents"/>
              <w:bidi w:val="0"/>
              <w:spacing w:before="0" w:after="283"/>
              <w:jc w:val="left"/>
              <w:rPr>
                <w:sz w:val="4"/>
                <w:szCs w:val="4"/>
              </w:rPr>
            </w:pPr>
            <w:r>
              <w:rPr>
                <w:sz w:val="4"/>
                <w:szCs w:val="4"/>
              </w:rPr>
            </w:r>
          </w:p>
        </w:tc>
        <w:tc>
          <w:tcPr>
            <w:tcW w:w="3529" w:type="dxa"/>
            <w:gridSpan w:val="2"/>
            <w:tcBorders/>
            <w:vAlign w:val="center"/>
          </w:tcPr>
          <w:p>
            <w:pPr>
              <w:pStyle w:val="TableContents"/>
              <w:bidi w:val="0"/>
              <w:spacing w:before="0" w:after="283"/>
              <w:jc w:val="left"/>
              <w:rPr>
                <w:sz w:val="4"/>
                <w:szCs w:val="4"/>
              </w:rPr>
            </w:pPr>
            <w:r>
              <w:rPr>
                <w:sz w:val="4"/>
                <w:szCs w:val="4"/>
              </w:rPr>
            </w:r>
          </w:p>
        </w:tc>
      </w:tr>
      <w:tr>
        <w:trPr/>
        <w:tc>
          <w:tcPr>
            <w:tcW w:w="553" w:type="dxa"/>
            <w:tcBorders/>
          </w:tcPr>
          <w:p>
            <w:pPr>
              <w:pStyle w:val="TableContents"/>
              <w:bidi w:val="0"/>
              <w:spacing w:before="0" w:after="283"/>
              <w:jc w:val="left"/>
              <w:rPr/>
            </w:pPr>
            <w:r>
              <w:rPr/>
              <w:t>By:</w:t>
            </w:r>
          </w:p>
        </w:tc>
        <w:tc>
          <w:tcPr>
            <w:tcW w:w="97" w:type="dxa"/>
            <w:tcBorders>
              <w:bottom w:val="single" w:sz="2" w:space="0" w:color="000000"/>
            </w:tcBorders>
            <w:tcMar>
              <w:bottom w:w="28" w:type="dxa"/>
            </w:tcMar>
            <w:vAlign w:val="bottom"/>
          </w:tcPr>
          <w:p>
            <w:pPr>
              <w:pStyle w:val="TableContents"/>
              <w:bidi w:val="0"/>
              <w:spacing w:before="0" w:after="283"/>
              <w:jc w:val="left"/>
              <w:rPr/>
            </w:pPr>
            <w:r>
              <w:rPr/>
              <w:t> </w:t>
            </w:r>
          </w:p>
        </w:tc>
        <w:tc>
          <w:tcPr>
            <w:tcW w:w="3432" w:type="dxa"/>
            <w:tcBorders>
              <w:bottom w:val="single" w:sz="2" w:space="0" w:color="000000"/>
            </w:tcBorders>
            <w:tcMar>
              <w:bottom w:w="28" w:type="dxa"/>
            </w:tcMar>
          </w:tcPr>
          <w:p>
            <w:pPr>
              <w:pStyle w:val="TableContents"/>
              <w:bidi w:val="0"/>
              <w:spacing w:before="0" w:after="283"/>
              <w:jc w:val="left"/>
              <w:rPr/>
            </w:pPr>
            <w:r>
              <w:rPr/>
              <w:t> </w:t>
            </w:r>
          </w:p>
        </w:tc>
      </w:tr>
      <w:tr>
        <w:trPr/>
        <w:tc>
          <w:tcPr>
            <w:tcW w:w="553"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43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 as Trustee</w:t>
            </w:r>
          </w:p>
        </w:tc>
      </w:tr>
      <w:tr>
        <w:trPr>
          <w:trHeight w:val="240" w:hRule="atLeast"/>
        </w:trPr>
        <w:tc>
          <w:tcPr>
            <w:tcW w:w="553" w:type="dxa"/>
            <w:tcBorders/>
            <w:vAlign w:val="center"/>
          </w:tcPr>
          <w:p>
            <w:pPr>
              <w:pStyle w:val="TableContents"/>
              <w:bidi w:val="0"/>
              <w:spacing w:before="0" w:after="283"/>
              <w:jc w:val="left"/>
              <w:rPr>
                <w:sz w:val="4"/>
                <w:szCs w:val="4"/>
              </w:rPr>
            </w:pPr>
            <w:r>
              <w:rPr>
                <w:sz w:val="4"/>
                <w:szCs w:val="4"/>
              </w:rPr>
            </w:r>
          </w:p>
        </w:tc>
        <w:tc>
          <w:tcPr>
            <w:tcW w:w="3529" w:type="dxa"/>
            <w:gridSpan w:val="2"/>
            <w:tcBorders/>
            <w:vAlign w:val="center"/>
          </w:tcPr>
          <w:p>
            <w:pPr>
              <w:pStyle w:val="TableContents"/>
              <w:bidi w:val="0"/>
              <w:spacing w:before="0" w:after="283"/>
              <w:jc w:val="left"/>
              <w:rPr>
                <w:sz w:val="4"/>
                <w:szCs w:val="4"/>
              </w:rPr>
            </w:pPr>
            <w:r>
              <w:rPr>
                <w:sz w:val="4"/>
                <w:szCs w:val="4"/>
              </w:rPr>
            </w:r>
          </w:p>
        </w:tc>
      </w:tr>
      <w:tr>
        <w:trPr/>
        <w:tc>
          <w:tcPr>
            <w:tcW w:w="553" w:type="dxa"/>
            <w:tcBorders/>
          </w:tcPr>
          <w:p>
            <w:pPr>
              <w:pStyle w:val="TableContents"/>
              <w:bidi w:val="0"/>
              <w:spacing w:before="0" w:after="283"/>
              <w:jc w:val="left"/>
              <w:rPr/>
            </w:pPr>
            <w:r>
              <w:rPr/>
              <w:t>By:</w:t>
            </w:r>
          </w:p>
        </w:tc>
        <w:tc>
          <w:tcPr>
            <w:tcW w:w="97" w:type="dxa"/>
            <w:tcBorders>
              <w:bottom w:val="single" w:sz="2" w:space="0" w:color="000000"/>
            </w:tcBorders>
            <w:tcMar>
              <w:bottom w:w="28" w:type="dxa"/>
            </w:tcMar>
            <w:vAlign w:val="bottom"/>
          </w:tcPr>
          <w:p>
            <w:pPr>
              <w:pStyle w:val="TableContents"/>
              <w:bidi w:val="0"/>
              <w:spacing w:before="0" w:after="283"/>
              <w:jc w:val="left"/>
              <w:rPr/>
            </w:pPr>
            <w:r>
              <w:rPr/>
              <w:t> </w:t>
            </w:r>
          </w:p>
        </w:tc>
        <w:tc>
          <w:tcPr>
            <w:tcW w:w="3432" w:type="dxa"/>
            <w:tcBorders>
              <w:bottom w:val="single" w:sz="2" w:space="0" w:color="000000"/>
            </w:tcBorders>
            <w:tcMar>
              <w:bottom w:w="28" w:type="dxa"/>
            </w:tcMar>
          </w:tcPr>
          <w:p>
            <w:pPr>
              <w:pStyle w:val="TableContents"/>
              <w:bidi w:val="0"/>
              <w:spacing w:before="0" w:after="283"/>
              <w:jc w:val="left"/>
              <w:rPr/>
            </w:pPr>
            <w:r>
              <w:rPr/>
              <w:t> </w:t>
            </w:r>
          </w:p>
        </w:tc>
      </w:tr>
      <w:tr>
        <w:trPr/>
        <w:tc>
          <w:tcPr>
            <w:tcW w:w="553"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43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p>
    <w:p>
      <w:pPr>
        <w:pStyle w:val="TextBody"/>
        <w:bidi w:val="0"/>
        <w:spacing w:before="0" w:after="0"/>
        <w:jc w:val="right"/>
        <w:rPr>
          <w:rFonts w:ascii="Times New Roman" w:hAnsi="Times New Roman"/>
          <w:b/>
          <w:sz w:val="20"/>
        </w:rPr>
      </w:pPr>
      <w:bookmarkStart w:id="25" w:name="d175664dex51.htm"/>
      <w:bookmarkStart w:id="26" w:name="ksd175664dex51"/>
      <w:bookmarkEnd w:id="25"/>
      <w:bookmarkEnd w:id="26"/>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0"/>
              <w:jc w:val="left"/>
              <w:rPr/>
            </w:pPr>
            <w:r>
              <w:rPr/>
              <w:drawing>
                <wp:inline distT="0" distB="0" distL="0" distR="0">
                  <wp:extent cx="628650" cy="190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5"/>
                          <a:stretch>
                            <a:fillRect/>
                          </a:stretch>
                        </pic:blipFill>
                        <pic:spPr bwMode="auto">
                          <a:xfrm>
                            <a:off x="0" y="0"/>
                            <a:ext cx="628650" cy="190500"/>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0"/>
              <w:jc w:val="right"/>
              <w:rPr>
                <w:rFonts w:ascii="Times New Roman" w:hAnsi="Times New Roman"/>
                <w:sz w:val="20"/>
              </w:rPr>
            </w:pPr>
            <w:r>
              <w:rPr>
                <w:rFonts w:ascii="Times New Roman" w:hAnsi="Times New Roman"/>
                <w:sz w:val="20"/>
              </w:rPr>
              <w:t>Dentons Bingham Greenebaum LLP</w:t>
            </w:r>
          </w:p>
          <w:p>
            <w:pPr>
              <w:pStyle w:val="TableContents"/>
              <w:bidi w:val="0"/>
              <w:spacing w:before="0" w:after="0"/>
              <w:jc w:val="right"/>
              <w:rPr>
                <w:rFonts w:ascii="Times New Roman" w:hAnsi="Times New Roman"/>
                <w:sz w:val="20"/>
              </w:rPr>
            </w:pPr>
            <w:r>
              <w:rPr>
                <w:rFonts w:ascii="Times New Roman" w:hAnsi="Times New Roman"/>
                <w:sz w:val="20"/>
              </w:rPr>
              <w:t>2700 Market Tower</w:t>
            </w:r>
          </w:p>
          <w:p>
            <w:pPr>
              <w:pStyle w:val="TableContents"/>
              <w:bidi w:val="0"/>
              <w:spacing w:before="0" w:after="0"/>
              <w:jc w:val="right"/>
              <w:rPr>
                <w:rFonts w:ascii="Times New Roman" w:hAnsi="Times New Roman"/>
                <w:sz w:val="20"/>
              </w:rPr>
            </w:pPr>
            <w:r>
              <w:rPr>
                <w:rFonts w:ascii="Times New Roman" w:hAnsi="Times New Roman"/>
                <w:sz w:val="20"/>
              </w:rPr>
              <w:t>10 West Market Street</w:t>
            </w:r>
          </w:p>
          <w:p>
            <w:pPr>
              <w:pStyle w:val="TableContents"/>
              <w:bidi w:val="0"/>
              <w:spacing w:before="0" w:after="0"/>
              <w:jc w:val="right"/>
              <w:rPr>
                <w:rFonts w:ascii="Times New Roman" w:hAnsi="Times New Roman"/>
                <w:sz w:val="20"/>
              </w:rPr>
            </w:pPr>
            <w:r>
              <w:rPr>
                <w:rFonts w:ascii="Times New Roman" w:hAnsi="Times New Roman"/>
                <w:sz w:val="20"/>
              </w:rPr>
              <w:t>Indianapolis, IN 46204</w:t>
            </w:r>
          </w:p>
          <w:p>
            <w:pPr>
              <w:pStyle w:val="TableContents"/>
              <w:bidi w:val="0"/>
              <w:spacing w:before="0" w:after="0"/>
              <w:jc w:val="right"/>
              <w:rPr>
                <w:rFonts w:ascii="Times New Roman" w:hAnsi="Times New Roman"/>
                <w:sz w:val="20"/>
              </w:rPr>
            </w:pPr>
            <w:r>
              <w:rPr>
                <w:rFonts w:ascii="Times New Roman" w:hAnsi="Times New Roman"/>
                <w:sz w:val="20"/>
              </w:rPr>
              <w:t>United States</w:t>
            </w:r>
          </w:p>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dentons.com</w:t>
            </w:r>
          </w:p>
        </w:tc>
      </w:tr>
    </w:tbl>
    <w:p>
      <w:pPr>
        <w:pStyle w:val="TextBody"/>
        <w:bidi w:val="0"/>
        <w:spacing w:before="480" w:after="0"/>
        <w:jc w:val="center"/>
        <w:rPr>
          <w:rFonts w:ascii="Times New Roman" w:hAnsi="Times New Roman"/>
          <w:sz w:val="20"/>
        </w:rPr>
      </w:pPr>
      <w:r>
        <w:rPr>
          <w:rFonts w:ascii="Times New Roman" w:hAnsi="Times New Roman"/>
          <w:sz w:val="20"/>
        </w:rPr>
        <w:t xml:space="preserve">September 17, 2026 </w:t>
      </w:r>
    </w:p>
    <w:p>
      <w:pPr>
        <w:pStyle w:val="TextBody"/>
        <w:bidi w:val="0"/>
        <w:spacing w:before="240" w:after="0"/>
        <w:jc w:val="left"/>
        <w:rPr>
          <w:rFonts w:ascii="Times New Roman" w:hAnsi="Times New Roman"/>
          <w:sz w:val="20"/>
        </w:rPr>
      </w:pPr>
      <w:r>
        <w:rPr>
          <w:rFonts w:ascii="Times New Roman" w:hAnsi="Times New Roman"/>
          <w:sz w:val="20"/>
        </w:rPr>
        <w:t xml:space="preserve">First Merchants Corporation </w:t>
      </w:r>
    </w:p>
    <w:p>
      <w:pPr>
        <w:pStyle w:val="TextBody"/>
        <w:bidi w:val="0"/>
        <w:spacing w:before="0" w:after="0"/>
        <w:jc w:val="left"/>
        <w:rPr>
          <w:rFonts w:ascii="Times New Roman" w:hAnsi="Times New Roman"/>
          <w:sz w:val="20"/>
        </w:rPr>
      </w:pPr>
      <w:r>
        <w:rPr>
          <w:rFonts w:ascii="Times New Roman" w:hAnsi="Times New Roman"/>
          <w:sz w:val="20"/>
        </w:rPr>
        <w:t xml:space="preserve">200 East Jackson Street </w:t>
      </w:r>
    </w:p>
    <w:p>
      <w:pPr>
        <w:pStyle w:val="TextBody"/>
        <w:bidi w:val="0"/>
        <w:spacing w:before="0" w:after="0"/>
        <w:jc w:val="left"/>
        <w:rPr>
          <w:rFonts w:ascii="Times New Roman" w:hAnsi="Times New Roman"/>
          <w:sz w:val="20"/>
        </w:rPr>
      </w:pPr>
      <w:r>
        <w:rPr>
          <w:rFonts w:ascii="Times New Roman" w:hAnsi="Times New Roman"/>
          <w:sz w:val="20"/>
        </w:rPr>
        <w:t xml:space="preserve">Muncie, Indiana 47305 </w:t>
      </w:r>
    </w:p>
    <w:p>
      <w:pPr>
        <w:pStyle w:val="TextBody"/>
        <w:bidi w:val="0"/>
        <w:spacing w:before="240" w:after="0"/>
        <w:jc w:val="left"/>
        <w:rPr>
          <w:rFonts w:ascii="Times New Roman" w:hAnsi="Times New Roman"/>
          <w:sz w:val="20"/>
        </w:rPr>
      </w:pPr>
      <w:r>
        <w:rPr>
          <w:rFonts w:ascii="Times New Roman" w:hAnsi="Times New Roman"/>
          <w:sz w:val="20"/>
        </w:rPr>
        <w:t xml:space="preserve">Re:   Registration Statement on Form S-3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First Merchants Corporation, an Indiana corporation (the “Company”), in connection with the filing with the Securities and Exchange Commission (the “SEC”) of an automatic registration statement on Form S-3 (the “Registration Statement”) pursuant to the Securities Act of 1933, as amended (the “Securities Act”), with respect to the proposed issuance and sale by the Company on a delayed or continuous basis from time to time pursuant to Rule 415 promulgated under the Securities Act of (A) an unspecified number or amount of securities (collectively, the “Securities”) consisting of: (i) shares (the “Common Shares”) of common stock, without par value, of the Company (the “Common Stock”); (ii) shares (the “Preferred Shares”) of preferred stock, without par value, of the Company (the “Preferred Stock”), (iii) depositary shares representing fractional interests in Preferred Shares (the “Depositary Shares”); (iv) senior debt securities of the Company (the “Senior Debt Securities”); (v) subordinated debt securities of the Company (the “Subordinated Debt Securities” and, together with the Senior Debt Securities, the “Debt Securities”); (vi) warrants to purchase any other Securities (the “Warrants”); (vii) units (the “Units”) consisting of one or more other Securities; and (viii) purchase contracts of the Company (the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representation of the Company, and as a basis for the opinions hereinafter set forth, we have examined: (a) the Registration Statement, including each prospectus and exhibit (including those exhibits incorporated by reference) constituting a part of the Registration Statement; (b) the Company’s Articles of Incorporation, as amended to the date hereof (the “Articles”); (c) the Company’s Bylaws, as amended to the date hereof (the “Bylaws”); (d) resolutions adopted by the Company’s Board of Directors (the “Resolutions”) relating to, among other matters, approval of the filing of the Registration Statement; and (e) such other agreements, proceedings, documents and records and such matters of law as we have deemed necessary or appropriate to enable us to render this opinion.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opinions contained herein, we have assumed that: </w:t>
      </w:r>
    </w:p>
    <w:p>
      <w:pPr>
        <w:pStyle w:val="TextBody"/>
        <w:bidi w:val="0"/>
        <w:spacing w:before="120" w:after="0"/>
        <w:jc w:val="left"/>
        <w:rPr>
          <w:rFonts w:ascii="Times New Roman" w:hAnsi="Times New Roman"/>
          <w:sz w:val="20"/>
        </w:rPr>
      </w:pPr>
      <w:r>
        <w:rPr>
          <w:rFonts w:ascii="Times New Roman" w:hAnsi="Times New Roman"/>
          <w:sz w:val="20"/>
        </w:rPr>
        <w:t xml:space="preserve">(a) the Company will remain validly existing under Indiana law and the organizational documents of the Company will not be amended or modified in any respect relevant and material to our opinions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(b) upon the issuance of any Common Shares, including any Common Shares which may be issued upon conversion or exchange of any other Securities that are convertible or exchangeable into Common Shares (collectively, the “Common Securities”), the total number of shares of Common Stock issued and outstanding will not exceed the total number of shares of Common Stock authorized under the Articles (as then in effect) and not otherwise reserved for issuance;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First Merchants Corporation </w:t>
      </w:r>
    </w:p>
    <w:p>
      <w:pPr>
        <w:pStyle w:val="TextBody"/>
        <w:bidi w:val="0"/>
        <w:spacing w:before="0" w:after="0"/>
        <w:jc w:val="left"/>
        <w:rPr>
          <w:rFonts w:ascii="Times New Roman" w:hAnsi="Times New Roman"/>
          <w:sz w:val="20"/>
        </w:rPr>
      </w:pPr>
      <w:r>
        <w:rPr>
          <w:rFonts w:ascii="Times New Roman" w:hAnsi="Times New Roman"/>
          <w:sz w:val="20"/>
        </w:rPr>
        <w:t xml:space="preserve">September 17,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 upon the issuance of any Preferred Shares, including any Preferred Shares which may be issued upon conversion or exchange of any other Securities that are convertible or exchangeable into Preferred Shares (collectively, the “Preferred Securities”), the total number of shares of Preferred Stock issued and outstanding, and the total number of issued and outstanding shares of the applicable class or series of Preferred Stock designated pursuant to the Articles, will not exceed, respectively, the total number of shares of Preferred Stock or the number of shares of such class or series of Preferred Stock that the Company is then authorized to issue under the Articles; </w:t>
      </w:r>
    </w:p>
    <w:p>
      <w:pPr>
        <w:pStyle w:val="TextBody"/>
        <w:bidi w:val="0"/>
        <w:spacing w:before="240" w:after="0"/>
        <w:jc w:val="left"/>
        <w:rPr>
          <w:rFonts w:ascii="Times New Roman" w:hAnsi="Times New Roman"/>
          <w:sz w:val="20"/>
        </w:rPr>
      </w:pPr>
      <w:r>
        <w:rPr>
          <w:rFonts w:ascii="Times New Roman" w:hAnsi="Times New Roman"/>
          <w:sz w:val="20"/>
        </w:rPr>
        <w:t xml:space="preserve">(d) the issuance, and certain terms, of the Securities to be issued by the Company from time to time will be authorized and approved by the Company’s Board of Directors, in accordance with the Indiana Business Corporation Law, the Articles, the Bylaws and the Registration Statement, and (i) with respect to the Preferred Shares, the applicable articles of amendment relating to such Preferred Shares will be duly filed with the Secretary of State of the State of Indiana prior to their issuance, and (ii) with respect to the Debt Securities, an indenture with respect thereto will be duly authorized, executed and delivered between the Company and an eligible trustee prior to their issuance, and the terms of such Debt Securities, and of their issuance and sale, will be duly established in conformity with the applicable indenture (such approvals, filings and actions, if applicable, being hereinafter referred to as the “Corporate Proceedings”); and </w:t>
      </w:r>
    </w:p>
    <w:p>
      <w:pPr>
        <w:pStyle w:val="TextBody"/>
        <w:bidi w:val="0"/>
        <w:spacing w:before="240" w:after="0"/>
        <w:jc w:val="left"/>
        <w:rPr>
          <w:rFonts w:ascii="Times New Roman" w:hAnsi="Times New Roman"/>
          <w:sz w:val="20"/>
        </w:rPr>
      </w:pPr>
      <w:r>
        <w:rPr>
          <w:rFonts w:ascii="Times New Roman" w:hAnsi="Times New Roman"/>
          <w:sz w:val="20"/>
        </w:rPr>
        <w:t xml:space="preserve">(e) the terms of the Securities are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have also assumed, with respect to all documents examined by us, the genuineness of all signatures, the authenticity of all documents submitted to us as originals, and the conformity to the originals of all documents submitted to us as certified, conformed, photostatic or facsimile copies. We have assumed with respect to all documents examined by us which contained facsimile signatures that such signatures were the original signature of the party and have the same force and effect as an original signature. </w:t>
      </w:r>
    </w:p>
    <w:p>
      <w:pPr>
        <w:pStyle w:val="TextBody"/>
        <w:bidi w:val="0"/>
        <w:spacing w:before="240" w:after="0"/>
        <w:jc w:val="left"/>
        <w:rPr>
          <w:rFonts w:ascii="Times New Roman" w:hAnsi="Times New Roman"/>
          <w:sz w:val="20"/>
        </w:rPr>
      </w:pPr>
      <w:r>
        <w:rPr>
          <w:rFonts w:ascii="Times New Roman" w:hAnsi="Times New Roman"/>
          <w:sz w:val="20"/>
        </w:rPr>
        <w:t xml:space="preserve">Based on and subject to the foregoing, and subject to the qualifications, assumptions and limitations stated herein, we are of the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Upon the completion of all Corporate Proceedings relating to the Common Securities, the issuance of the Common Securities will be duly authorized and, when and if issued and delivered against payment therefor in accordance with the Registration Statement and the Corporate Proceedings, the Common Securities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2. Upon the completion of all Corporate Proceedings relating to the Preferred Securities, the issuance of the Preferred Securities will be duly authorized and, when and if issued and delivered against payment therefor in accordance with the Registration Statement and the Corporate Proceedings, the Preferred Securities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3. Upon the completion of all Corporate Proceedings relating to the Depositary Shares, the issuance of the Depositary Shares will be validly issued and will entitle the holders thereof to the rights specified in the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4. Upon the completion of all Corporate Proceedings relating to the Senior Debt Securities, the issuance of the Senior Debt Securities will be duly authorized and will be valid and legally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 Upon the completion of all Corporate Proceedings relating to the Subordinated Debt Securities, the issuance of the Subordinated Debt Securities will be duly authorized and will be valid and legally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6. Upon the completion of all Corporate Proceedings relating to the Warrants, the issuance of the Warrants will be duly authorized and will be valid and legally binding obligations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First Merchants Corporation </w:t>
      </w:r>
    </w:p>
    <w:p>
      <w:pPr>
        <w:pStyle w:val="TextBody"/>
        <w:bidi w:val="0"/>
        <w:spacing w:before="0" w:after="0"/>
        <w:jc w:val="left"/>
        <w:rPr>
          <w:rFonts w:ascii="Times New Roman" w:hAnsi="Times New Roman"/>
          <w:sz w:val="20"/>
        </w:rPr>
      </w:pPr>
      <w:r>
        <w:rPr>
          <w:rFonts w:ascii="Times New Roman" w:hAnsi="Times New Roman"/>
          <w:sz w:val="20"/>
        </w:rPr>
        <w:t xml:space="preserve">September 17,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7. Upon the completion of all Corporate Proceedings relating to Securities that are Units, the issuance of the Units will be duly authorized and will be valid and legally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8. Upon the completion of all Corporate Proceedings relating to the Purchase Contracts, the issuance of the Purchase Contracts will be duly authorized and will be valid and legally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opinions are limited to the Federal laws of the United States and the laws of the State of Indiana as in effect on the date hereof, and we are expressing no opinion as to the effect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matters expressly stated herein and no opinion is inferred or may be implied beyond the matters expressly stated herein. We assume no obligation to supplement this opinion if any applicable law changes after the date hereof or if we become aware of any fact that might change the opinions expressed herein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foregoing opinions, we are not passing upon, and assume no responsibility for, any disclosure in the Registration Statement or any related prospectus or other offering material regarding the Company or the Securities or their offering and sale.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and to the references made to us therein. In giving this consent, we do not thereby admit that we come within the category of persons whose consent is required under Section 7 of the Securities Act or the rules and regulations of the Commission promulgated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Dentons Bingham Greenebaum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DENTONS BINGHAM GREENEBAUM LLP</w:t>
            </w:r>
          </w:p>
        </w:tc>
      </w:tr>
    </w:tbl>
    <w:p>
      <w:pPr>
        <w:pStyle w:val="TextBody"/>
        <w:bidi w:val="0"/>
        <w:spacing w:before="240" w:after="0"/>
        <w:jc w:val="left"/>
        <w:rPr>
          <w:rFonts w:ascii="Times New Roman" w:hAnsi="Times New Roman"/>
          <w:sz w:val="20"/>
        </w:rPr>
      </w:pPr>
      <w:r>
        <w:rPr>
          <w:rFonts w:ascii="Times New Roman" w:hAnsi="Times New Roman"/>
          <w:sz w:val="20"/>
        </w:rPr>
        <w:t xml:space="preserve">JEH/DBW </w:t>
      </w:r>
    </w:p>
    <w:p>
      <w:pPr>
        <w:pStyle w:val="TextBody"/>
        <w:bidi w:val="0"/>
        <w:spacing w:before="0" w:after="0"/>
        <w:jc w:val="right"/>
        <w:rPr>
          <w:rFonts w:ascii="Times New Roman" w:hAnsi="Times New Roman"/>
          <w:b/>
          <w:sz w:val="20"/>
        </w:rPr>
      </w:pPr>
      <w:bookmarkStart w:id="27" w:name="d175664dex231.htm"/>
      <w:bookmarkStart w:id="28" w:name="ksd175664dex231"/>
      <w:bookmarkEnd w:id="27"/>
      <w:bookmarkEnd w:id="28"/>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First Merchants Corporation (the “Corporation”) for the registration of securities of our reports dated February 25, 2026, with respect to the consolidated financial statements and the effectiveness of internal control over financial reporting, included in the Corporation’s Annual Report on Form 10-K for the year ended December 31, 2025. We also consent to the reference to our firm under the caption “Experts” in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Forvis Mazars, LLP </w:t>
      </w:r>
    </w:p>
    <w:p>
      <w:pPr>
        <w:pStyle w:val="TextBody"/>
        <w:bidi w:val="0"/>
        <w:spacing w:before="240" w:after="0"/>
        <w:jc w:val="left"/>
        <w:rPr>
          <w:rFonts w:ascii="Times New Roman" w:hAnsi="Times New Roman"/>
          <w:b/>
          <w:sz w:val="20"/>
        </w:rPr>
      </w:pPr>
      <w:r>
        <w:rPr>
          <w:rFonts w:ascii="Times New Roman" w:hAnsi="Times New Roman"/>
          <w:b/>
          <w:sz w:val="20"/>
        </w:rPr>
        <w:t xml:space="preserve">Indianapolis, Indiana </w:t>
      </w:r>
    </w:p>
    <w:p>
      <w:pPr>
        <w:pStyle w:val="TextBody"/>
        <w:bidi w:val="0"/>
        <w:spacing w:before="0" w:after="0"/>
        <w:jc w:val="left"/>
        <w:rPr>
          <w:rFonts w:ascii="Times New Roman" w:hAnsi="Times New Roman"/>
          <w:b/>
          <w:sz w:val="20"/>
        </w:rPr>
      </w:pPr>
      <w:r>
        <w:rPr>
          <w:rFonts w:ascii="Times New Roman" w:hAnsi="Times New Roman"/>
          <w:b/>
          <w:sz w:val="20"/>
        </w:rPr>
        <w:t xml:space="preserve">September 17, 2026 </w:t>
      </w:r>
    </w:p>
    <w:p>
      <w:pPr>
        <w:pStyle w:val="Normal"/>
        <w:bidi w:val="0"/>
        <w:spacing w:before="0" w:after="0"/>
        <w:jc w:val="left"/>
        <w:rPr>
          <w:sz w:val="4"/>
          <w:szCs w:val="4"/>
        </w:rPr>
      </w:pPr>
      <w:r>
        <w:rPr>
          <w:sz w:val="4"/>
          <w:szCs w:val="4"/>
        </w:rPr>
      </w:r>
      <w:bookmarkStart w:id="29" w:name="d175664dexfilingfees.htm"/>
      <w:bookmarkStart w:id="30" w:name="ksd175664dexfilingfees"/>
      <w:bookmarkStart w:id="31" w:name="d175664dexfilingfees.htm"/>
      <w:bookmarkStart w:id="32" w:name="ksd175664dexfilingfees"/>
      <w:bookmarkEnd w:id="31"/>
      <w:bookmarkEnd w:id="32"/>
      <w:r>
        <w:br w:type="page"/>
      </w:r>
    </w:p>
    <w:tbl>
      <w:tblPr>
        <w:tblW w:w="3581" w:type="dxa"/>
        <w:jc w:val="left"/>
        <w:tblInd w:w="0" w:type="dxa"/>
        <w:tblLayout w:type="fixed"/>
        <w:tblCellMar>
          <w:top w:w="28" w:type="dxa"/>
          <w:left w:w="28" w:type="dxa"/>
          <w:bottom w:w="28" w:type="dxa"/>
          <w:right w:w="28" w:type="dxa"/>
        </w:tblCellMar>
      </w:tblPr>
      <w:tblGrid>
        <w:gridCol w:w="3427"/>
        <w:gridCol w:w="154"/>
      </w:tblGrid>
      <w:tr>
        <w:trPr/>
        <w:tc>
          <w:tcPr>
            <w:tcW w:w="358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7"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7" w:type="dxa"/>
            <w:tcBorders/>
            <w:vAlign w:val="center"/>
          </w:tcPr>
          <w:p>
            <w:pPr>
              <w:pStyle w:val="TableContents"/>
              <w:bidi w:val="0"/>
              <w:spacing w:before="0" w:after="283"/>
              <w:jc w:val="left"/>
              <w:rPr>
                <w:b/>
              </w:rPr>
            </w:pPr>
            <w:r>
              <w:rPr>
                <w:b/>
              </w:rPr>
              <w:t xml:space="preserve">FIRST MERCHANTS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074" w:type="dxa"/>
        <w:jc w:val="left"/>
        <w:tblInd w:w="0" w:type="dxa"/>
        <w:tblLayout w:type="fixed"/>
        <w:tblCellMar>
          <w:top w:w="28" w:type="dxa"/>
          <w:left w:w="28" w:type="dxa"/>
          <w:bottom w:w="28" w:type="dxa"/>
          <w:right w:w="28" w:type="dxa"/>
        </w:tblCellMar>
      </w:tblPr>
      <w:tblGrid>
        <w:gridCol w:w="1126"/>
        <w:gridCol w:w="226"/>
        <w:gridCol w:w="946"/>
        <w:gridCol w:w="114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4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07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14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Common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Preferred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Depositary Shares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Purchase Contracts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07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33" w:name="MaxAggtOfferingPrice"/>
            <w:bookmarkEnd w:id="33"/>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4" w:name="TotalFee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TotalPreviouslyPaid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TotalOffset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NetFee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429"/>
        <w:gridCol w:w="8575"/>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An indeterminate aggregate initial offering price or principal amount or number of the securities of each identified class is being registered as may from time to time be sold at indeterminate prices. Separate consideration may or may not be received for securities that are issuable on exercise, conversion, or exchange of other securities or that are issued in units. No separate consideration will be received for securities issued pursuant to anti-dilution provisions. In accordance with Rules 456(b) and 457(r) under the Securities Act of 1933, First Merchants Corporation (the "Corporation") is deferring payment of all of the registration fee. </w:t>
            </w:r>
          </w:p>
        </w:tc>
      </w:tr>
      <w:tr>
        <w:trPr/>
        <w:tc>
          <w:tcPr>
            <w:tcW w:w="1630" w:type="dxa"/>
            <w:gridSpan w:val="2"/>
            <w:tcBorders/>
            <w:vAlign w:val="center"/>
          </w:tcPr>
          <w:p>
            <w:pPr>
              <w:pStyle w:val="HorizontalLine"/>
              <w:pBdr>
                <w:bottom w:val="double" w:sz="2" w:space="0" w:color="808080"/>
              </w:pBdr>
              <w:bidi w:val="0"/>
              <w:spacing w:before="0" w:after="283"/>
              <w:jc w:val="left"/>
              <w:rPr/>
            </w:pPr>
            <w:r>
              <w:rPr/>
            </w:r>
          </w:p>
        </w:tc>
        <w:tc>
          <w:tcPr>
            <w:tcW w:w="8575"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4" w:type="dxa"/>
            <w:gridSpan w:val="2"/>
            <w:tcBorders/>
            <w:vAlign w:val="center"/>
          </w:tcPr>
          <w:p>
            <w:pPr>
              <w:pStyle w:val="TableContents"/>
              <w:bidi w:val="0"/>
              <w:spacing w:before="0" w:after="283"/>
              <w:jc w:val="left"/>
              <w:rPr/>
            </w:pPr>
            <w:r>
              <w:rPr/>
              <w:t xml:space="preserve">An indeterminate aggregate initial offering price or principal amount or number of the securities of each identified class is being registered as may from time to time be sold at indeterminate prices. Separate consideration may or may not be received for securities that are issuable on exercise, conversion, or exchange of other securities or that are issued in units. No separate consideration will be received for securities issued pursuant to anti-dilution provisions. In accordance with Rules 456(b) and 457(r) under the Securities Act of 1933, the Corporation is deferring payment of all of the registration fee. </w:t>
            </w:r>
          </w:p>
        </w:tc>
      </w:tr>
      <w:tr>
        <w:trPr/>
        <w:tc>
          <w:tcPr>
            <w:tcW w:w="1630" w:type="dxa"/>
            <w:gridSpan w:val="2"/>
            <w:tcBorders/>
            <w:vAlign w:val="center"/>
          </w:tcPr>
          <w:p>
            <w:pPr>
              <w:pStyle w:val="HorizontalLine"/>
              <w:pBdr>
                <w:bottom w:val="double" w:sz="2" w:space="0" w:color="808080"/>
              </w:pBdr>
              <w:bidi w:val="0"/>
              <w:spacing w:before="0" w:after="283"/>
              <w:jc w:val="left"/>
              <w:rPr/>
            </w:pPr>
            <w:r>
              <w:rPr/>
            </w:r>
          </w:p>
        </w:tc>
        <w:tc>
          <w:tcPr>
            <w:tcW w:w="8575"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4" w:type="dxa"/>
            <w:gridSpan w:val="2"/>
            <w:tcBorders/>
            <w:vAlign w:val="center"/>
          </w:tcPr>
          <w:p>
            <w:pPr>
              <w:pStyle w:val="TableContents"/>
              <w:bidi w:val="0"/>
              <w:spacing w:before="0" w:after="283"/>
              <w:jc w:val="left"/>
              <w:rPr/>
            </w:pPr>
            <w:r>
              <w:rPr/>
              <w:t xml:space="preserve">An indeterminate aggregate initial offering price or principal amount or number of the securities of each identified class is being registered as may from time to time be sold at indeterminate prices. Separate consideration may or may not be received for securities that are issuable on exercise, conversion, or exchange of other securities or that are issued in units. No separate consideration will be received for securities issued pursuant to anti-dilution provisions. In accordance with Rules 456(b) and 457(r) under the Securities Act of 1933, the Corporation is deferring payment of all of the registration fee. </w:t>
            </w:r>
          </w:p>
        </w:tc>
      </w:tr>
      <w:tr>
        <w:trPr/>
        <w:tc>
          <w:tcPr>
            <w:tcW w:w="1630" w:type="dxa"/>
            <w:gridSpan w:val="2"/>
            <w:tcBorders/>
            <w:vAlign w:val="center"/>
          </w:tcPr>
          <w:p>
            <w:pPr>
              <w:pStyle w:val="HorizontalLine"/>
              <w:pBdr>
                <w:bottom w:val="double" w:sz="2" w:space="0" w:color="808080"/>
              </w:pBdr>
              <w:bidi w:val="0"/>
              <w:spacing w:before="0" w:after="283"/>
              <w:jc w:val="left"/>
              <w:rPr/>
            </w:pPr>
            <w:r>
              <w:rPr/>
            </w:r>
          </w:p>
        </w:tc>
        <w:tc>
          <w:tcPr>
            <w:tcW w:w="8575"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4" w:type="dxa"/>
            <w:gridSpan w:val="2"/>
            <w:tcBorders/>
            <w:vAlign w:val="center"/>
          </w:tcPr>
          <w:p>
            <w:pPr>
              <w:pStyle w:val="TableContents"/>
              <w:bidi w:val="0"/>
              <w:spacing w:before="0" w:after="283"/>
              <w:jc w:val="left"/>
              <w:rPr/>
            </w:pPr>
            <w:r>
              <w:rPr/>
              <w:t xml:space="preserve">(1) An indeterminate aggregate initial offering price or principal amount or number of the securities of each identified class is being registered as may from time to time be sold at indeterminate prices. Separate consideration may or may not be received for securities that are issuable on exercise, conversion, or exchange of other securities or that are issued in units. No separate consideration will be received for securities issued pursuant to anti-dilution provisions. In accordance with Rules 456(b) and 457(r) under the Securities Act of 1933, the Corporation is deferring payment of all of the registration fee. (2) In the event that the Corporation elects to offer to the public fractional interests in shares of Preferred Stock registered hereunder, Depositary Shares, evidenced by depositary receipts issued pursuant to a deposit agreement, will be distributed to those persons purchasing such fractional interests, and the shares of Preferred Stock will be issued to the depositary under such agreement. </w:t>
            </w:r>
          </w:p>
        </w:tc>
      </w:tr>
      <w:tr>
        <w:trPr/>
        <w:tc>
          <w:tcPr>
            <w:tcW w:w="1630" w:type="dxa"/>
            <w:gridSpan w:val="2"/>
            <w:tcBorders/>
            <w:vAlign w:val="center"/>
          </w:tcPr>
          <w:p>
            <w:pPr>
              <w:pStyle w:val="HorizontalLine"/>
              <w:pBdr>
                <w:bottom w:val="double" w:sz="2" w:space="0" w:color="808080"/>
              </w:pBdr>
              <w:bidi w:val="0"/>
              <w:spacing w:before="0" w:after="283"/>
              <w:jc w:val="left"/>
              <w:rPr/>
            </w:pPr>
            <w:r>
              <w:rPr/>
            </w:r>
          </w:p>
        </w:tc>
        <w:tc>
          <w:tcPr>
            <w:tcW w:w="8575"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4" w:type="dxa"/>
            <w:gridSpan w:val="2"/>
            <w:tcBorders/>
            <w:vAlign w:val="center"/>
          </w:tcPr>
          <w:p>
            <w:pPr>
              <w:pStyle w:val="TableContents"/>
              <w:bidi w:val="0"/>
              <w:spacing w:before="0" w:after="283"/>
              <w:jc w:val="left"/>
              <w:rPr/>
            </w:pPr>
            <w:r>
              <w:rPr/>
              <w:t xml:space="preserve">(1) An indeterminate aggregate initial offering price or principal amount or number of the securities of each identified class is being registered as may from time to time be sold at indeterminate prices. Separate consideration may or may not be received for securities that are issuable on exercise, conversion, or exchange of other securities or that are issued in units. No separate consideration will be received for securities issued pursuant to anti-dilution provisions. In accordance with Rules 456(b) and 457(r) under the Securities Act of 1933, the Corporation is deferring payment of all of the registration fee. (2) An indeterminate number of Warrants representing rights to receive an amount of cash or number of securities that will be determined and as may be sold, from time to time is being registered hereunder. Includes Warrants which may be purchased by underwriters to cover over-allotments, if any. </w:t>
            </w:r>
          </w:p>
        </w:tc>
      </w:tr>
      <w:tr>
        <w:trPr/>
        <w:tc>
          <w:tcPr>
            <w:tcW w:w="1630" w:type="dxa"/>
            <w:gridSpan w:val="2"/>
            <w:tcBorders/>
            <w:vAlign w:val="center"/>
          </w:tcPr>
          <w:p>
            <w:pPr>
              <w:pStyle w:val="HorizontalLine"/>
              <w:pBdr>
                <w:bottom w:val="double" w:sz="2" w:space="0" w:color="808080"/>
              </w:pBdr>
              <w:bidi w:val="0"/>
              <w:spacing w:before="0" w:after="283"/>
              <w:jc w:val="left"/>
              <w:rPr/>
            </w:pPr>
            <w:r>
              <w:rPr/>
            </w:r>
          </w:p>
        </w:tc>
        <w:tc>
          <w:tcPr>
            <w:tcW w:w="8575"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4" w:type="dxa"/>
            <w:gridSpan w:val="2"/>
            <w:tcBorders/>
            <w:vAlign w:val="center"/>
          </w:tcPr>
          <w:p>
            <w:pPr>
              <w:pStyle w:val="TableContents"/>
              <w:bidi w:val="0"/>
              <w:spacing w:before="0" w:after="283"/>
              <w:jc w:val="left"/>
              <w:rPr/>
            </w:pPr>
            <w:r>
              <w:rPr/>
              <w:t xml:space="preserve">(1) An indeterminate aggregate initial offering price or principal amount or number of the securities of each identified class is being registered as may from time to time be sold at indeterminate prices. Separate consideration may or may not be received for securities that are issuable on exercise, conversion, or exchange of other securities or that are issued in units. No separate consideration will be received for securities issued pursuant to anti-dilution provisions. In accordance with Rules 456(b) and 457(r) under the Securities Act of 1933, the Corporation is deferring payment of all of the registration fee. (2) Any securities registered hereunder may be sold separately or as units with other securities registered hereunder. Each unit will be issued under a unit agreement. </w:t>
            </w:r>
          </w:p>
        </w:tc>
      </w:tr>
      <w:tr>
        <w:trPr/>
        <w:tc>
          <w:tcPr>
            <w:tcW w:w="1630" w:type="dxa"/>
            <w:gridSpan w:val="2"/>
            <w:tcBorders/>
            <w:vAlign w:val="center"/>
          </w:tcPr>
          <w:p>
            <w:pPr>
              <w:pStyle w:val="HorizontalLine"/>
              <w:pBdr>
                <w:bottom w:val="double" w:sz="2" w:space="0" w:color="808080"/>
              </w:pBdr>
              <w:bidi w:val="0"/>
              <w:spacing w:before="0" w:after="283"/>
              <w:jc w:val="left"/>
              <w:rPr/>
            </w:pPr>
            <w:r>
              <w:rPr/>
            </w:r>
          </w:p>
        </w:tc>
        <w:tc>
          <w:tcPr>
            <w:tcW w:w="8575"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10004" w:type="dxa"/>
            <w:gridSpan w:val="2"/>
            <w:tcBorders/>
            <w:vAlign w:val="center"/>
          </w:tcPr>
          <w:p>
            <w:pPr>
              <w:pStyle w:val="TableContents"/>
              <w:bidi w:val="0"/>
              <w:spacing w:before="0" w:after="283"/>
              <w:jc w:val="left"/>
              <w:rPr/>
            </w:pPr>
            <w:r>
              <w:rPr/>
              <w:t xml:space="preserve">(1) An indeterminate aggregate initial offering price or principal amount or number of the securities of each identified class is being registered as may from time to time be sold at indeterminate prices. Separate consideration may or may not be received for securities that are issuable on exercise, conversion, or exchange of other securities or that are issued in units. No separate consideration will be received for securities issued pursuant to anti-dilution provisions. In accordance with Rules 456(b) and 457(r) under the Securities Act of 1933, the Corporation is deferring payment of all of the registration fee. (2) The Purchase Contracts may require the holder thereof to purchase or sell Debt Securities, Preferred Stock, Depositary Shares, or Common Stock of the Corporation. </w:t>
            </w:r>
          </w:p>
        </w:tc>
      </w:tr>
      <w:tr>
        <w:trPr/>
        <w:tc>
          <w:tcPr>
            <w:tcW w:w="1630" w:type="dxa"/>
            <w:gridSpan w:val="2"/>
            <w:tcBorders/>
            <w:vAlign w:val="center"/>
          </w:tcPr>
          <w:p>
            <w:pPr>
              <w:pStyle w:val="HorizontalLine"/>
              <w:pBdr>
                <w:bottom w:val="double" w:sz="2" w:space="0" w:color="808080"/>
              </w:pBdr>
              <w:bidi w:val="0"/>
              <w:spacing w:before="0" w:after="283"/>
              <w:jc w:val="left"/>
              <w:rPr/>
            </w:pPr>
            <w:r>
              <w:rPr/>
            </w:r>
          </w:p>
        </w:tc>
        <w:tc>
          <w:tcPr>
            <w:tcW w:w="857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712534/000071253426000022/frme-20251231.htm" TargetMode="External"/><Relationship Id="rId4" Type="http://schemas.openxmlformats.org/officeDocument/2006/relationships/hyperlink" Target="http://www.sec.gov/Archives/edgar/data/../../../ix?doc=/Archives/edgar/data/712534/000071253426000025/frme-20260402.htm" TargetMode="External"/><Relationship Id="rId5" Type="http://schemas.openxmlformats.org/officeDocument/2006/relationships/hyperlink" Target="http://www.sec.gov/Archives/edgar/data/../../../ix?doc=/Archives/edgar/data/712534/000071253426000035/frme-20260331.htm" TargetMode="External"/><Relationship Id="rId6" Type="http://schemas.openxmlformats.org/officeDocument/2006/relationships/hyperlink" Target="http://www.sec.gov/Archives/edgar/data/../../../ix?doc=/Archives/edgar/data/712534/000071253426000059/frme-20260630.htm" TargetMode="External"/><Relationship Id="rId7" Type="http://schemas.openxmlformats.org/officeDocument/2006/relationships/hyperlink" Target="http://www.sec.gov/Archives/edgar/data/../../../ix?doc=/Archives/edgar/data/712534/000071253426000003/frme-20260112.htm" TargetMode="External"/><Relationship Id="rId8" Type="http://schemas.openxmlformats.org/officeDocument/2006/relationships/hyperlink" Target="http://www.sec.gov/Archives/edgar/data/../../../ix?doc=/Archives/edgar/data/712534/000071253426000008/frme-20260116.htm" TargetMode="External"/><Relationship Id="rId9" Type="http://schemas.openxmlformats.org/officeDocument/2006/relationships/hyperlink" Target="http://www.sec.gov/Archives/edgar/data/../../../ix?doc=/Archives/edgar/data/712534/000071253426000013/frme-20260202.htm" TargetMode="External"/><Relationship Id="rId10" Type="http://schemas.openxmlformats.org/officeDocument/2006/relationships/hyperlink" Target="http://www.sec.gov/Archives/edgar/data/../../../ix?doc=/Archives/edgar/data/712534/000071253426000015/frme-20260203.htm" TargetMode="External"/><Relationship Id="rId11" Type="http://schemas.openxmlformats.org/officeDocument/2006/relationships/hyperlink" Target="http://www.sec.gov/Archives/edgar/data/../../../ix?doc=/Archives/edgar/data/712534/000071253426000017/frme-20260209.htm" TargetMode="External"/><Relationship Id="rId12" Type="http://schemas.openxmlformats.org/officeDocument/2006/relationships/hyperlink" Target="http://www.sec.gov/Archives/edgar/data/../../../ix?doc=/Archives/edgar/data/712534/000071253426000019/frme-20260210.htm" TargetMode="External"/><Relationship Id="rId13" Type="http://schemas.openxmlformats.org/officeDocument/2006/relationships/hyperlink" Target="http://www.sec.gov/Archives/edgar/data/../../../ix?doc=/Archives/edgar/data/712534/000071253426000028/frme-20260416.htm" TargetMode="External"/><Relationship Id="rId14" Type="http://schemas.openxmlformats.org/officeDocument/2006/relationships/hyperlink" Target="http://www.sec.gov/Archives/edgar/data/../../../ix?doc=/Archives/edgar/data/712534/000071253426000038/frme-20260519.htm" TargetMode="External"/><Relationship Id="rId15" Type="http://schemas.openxmlformats.org/officeDocument/2006/relationships/hyperlink" Target="http://www.sec.gov/Archives/edgar/data/../../../ix?doc=/Archives/edgar/data/712534/000071253426000039/frme-20260519.htm" TargetMode="External"/><Relationship Id="rId16" Type="http://schemas.openxmlformats.org/officeDocument/2006/relationships/hyperlink" Target="http://www.sec.gov/Archives/edgar/data/../../../ix?doc=/Archives/edgar/data/712534/000071253426000041/frme-20260519.htm" TargetMode="External"/><Relationship Id="rId17" Type="http://schemas.openxmlformats.org/officeDocument/2006/relationships/hyperlink" Target="http://www.sec.gov/Archives/edgar/data/../../../ix?doc=/Archives/edgar/data/712534/000071253426000046/frme-20260624.htm" TargetMode="External"/><Relationship Id="rId18" Type="http://schemas.openxmlformats.org/officeDocument/2006/relationships/hyperlink" Target="http://www.sec.gov/Archives/edgar/data/../../../ix?doc=/Archives/edgar/data/712534/000071253426000048/frme-20260701.htm" TargetMode="External"/><Relationship Id="rId19" Type="http://schemas.openxmlformats.org/officeDocument/2006/relationships/hyperlink" Target="http://www.sec.gov/Archives/edgar/data/../../../ix?doc=/Archives/edgar/data/712534/000071253426000051/frme-20260713.htm" TargetMode="External"/><Relationship Id="rId20" Type="http://schemas.openxmlformats.org/officeDocument/2006/relationships/hyperlink" Target="http://www.sec.gov/Archives/edgar/data/../../../ix?doc=/Archives/edgar/data/712534/000071253426000064/frme-20260814.htm" TargetMode="External"/><Relationship Id="rId21" Type="http://schemas.openxmlformats.org/officeDocument/2006/relationships/hyperlink" Target="http://www.sec.gov/Archives/edgar/data/712534/000071253423000067/exhibit47-202210k.htm" TargetMode="External"/><Relationship Id="rId22" Type="http://schemas.openxmlformats.org/officeDocument/2006/relationships/hyperlink" Target="http://www.sec.gov/Archives/edgar/data/712534/000071253424000181/exhibit31.htm" TargetMode="External"/><Relationship Id="rId23" Type="http://schemas.openxmlformats.org/officeDocument/2006/relationships/hyperlink" Target="http://www.sec.gov/Archives/edgar/data/712534/000071253424000181/exhibit32.htm" TargetMode="External"/><Relationship Id="rId24" Type="http://schemas.openxmlformats.org/officeDocument/2006/relationships/hyperlink" Target="http://www.sec.gov/Archives/edgar/data/712534/000071253423000067/exhibit47-202210k.htm" TargetMode="External"/><Relationship Id="rId25" Type="http://schemas.openxmlformats.org/officeDocument/2006/relationships/image" Target="media/image2.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184</Pages>
  <Words>89341</Words>
  <Characters>458968</Characters>
  <CharactersWithSpaces>549228</CharactersWithSpaces>
  <Paragraphs>4402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