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WASHINGTON, D.C. 20549</w:t>
      </w:r>
    </w:p>
    <w:p>
      <w:pPr>
        <w:spacing w:after="0" w:line="1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94" w:lineRule="exact"/>
        <w:rPr>
          <w:sz w:val="24"/>
          <w:szCs w:val="24"/>
          <w:color w:val="auto"/>
        </w:rPr>
      </w:pPr>
    </w:p>
    <w:p>
      <w:pPr>
        <w:jc w:val="center"/>
        <w:ind w:righ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color w:val="auto"/>
        </w:rPr>
        <w:t xml:space="preserve"> QUARTERLY REPORT PURSUANT TO SECTION 13 OR 15 (d) OF THE</w:t>
      </w: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EXCHANGE ACT OF 1934</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 the quarterly period ended September 30, 2026</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10" w:lineRule="exact"/>
        <w:rPr>
          <w:sz w:val="24"/>
          <w:szCs w:val="24"/>
          <w:color w:val="auto"/>
        </w:rPr>
      </w:pPr>
    </w:p>
    <w:p>
      <w:pPr>
        <w:jc w:val="center"/>
        <w:ind w:righ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4"/>
          <w:szCs w:val="14"/>
          <w:color w:val="auto"/>
        </w:rPr>
        <w:t xml:space="preserve"> TRANSITION REPORT PURSUANT TO SECTION 13 OR 15 (d) OF THE</w:t>
      </w: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EXCHANGE ACT OF 1934</w:t>
      </w:r>
    </w:p>
    <w:p>
      <w:pPr>
        <w:spacing w:after="0" w:line="254" w:lineRule="exact"/>
        <w:rPr>
          <w:sz w:val="24"/>
          <w:szCs w:val="24"/>
          <w:color w:val="auto"/>
        </w:rPr>
      </w:pPr>
    </w:p>
    <w:p>
      <w:pPr>
        <w:ind w:left="4400"/>
        <w:spacing w:after="0"/>
        <w:rPr>
          <w:sz w:val="20"/>
          <w:szCs w:val="20"/>
          <w:color w:val="auto"/>
        </w:rPr>
      </w:pPr>
      <w:r>
        <w:rPr>
          <w:rFonts w:ascii="Arial" w:cs="Arial" w:eastAsia="Arial" w:hAnsi="Arial"/>
          <w:sz w:val="11"/>
          <w:szCs w:val="11"/>
          <w:color w:val="auto"/>
        </w:rPr>
        <w:t>For the Transition Period from _______ to _______</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FIRST MERCHANTS CORPORATION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174625</wp:posOffset>
            </wp:positionV>
            <wp:extent cx="707199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3257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Indiana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80" w:type="dxa"/>
            <w:vAlign w:val="bottom"/>
            <w:tcBorders>
              <w:right w:val="single" w:sz="8" w:color="00000A"/>
            </w:tcBorders>
          </w:tcPr>
          <w:p>
            <w:pPr>
              <w:spacing w:after="0"/>
              <w:rPr>
                <w:sz w:val="21"/>
                <w:szCs w:val="21"/>
                <w:color w:val="auto"/>
              </w:rPr>
            </w:pPr>
          </w:p>
        </w:tc>
        <w:tc>
          <w:tcPr>
            <w:tcW w:w="3680" w:type="dxa"/>
            <w:vAlign w:val="bottom"/>
            <w:tcBorders>
              <w:top w:val="single" w:sz="8" w:color="auto"/>
              <w:bottom w:val="single" w:sz="8" w:color="00000A"/>
            </w:tcBorders>
          </w:tcPr>
          <w:p>
            <w:pPr>
              <w:jc w:val="right"/>
              <w:ind w:right="368"/>
              <w:spacing w:after="0"/>
              <w:rPr>
                <w:sz w:val="20"/>
                <w:szCs w:val="20"/>
                <w:color w:val="auto"/>
              </w:rPr>
            </w:pPr>
            <w:r>
              <w:rPr>
                <w:rFonts w:ascii="Arial" w:cs="Arial" w:eastAsia="Arial" w:hAnsi="Arial"/>
                <w:sz w:val="20"/>
                <w:szCs w:val="20"/>
                <w:color w:val="auto"/>
              </w:rPr>
              <w:t>001-41342</w:t>
            </w:r>
          </w:p>
        </w:tc>
        <w:tc>
          <w:tcPr>
            <w:tcW w:w="140" w:type="dxa"/>
            <w:vAlign w:val="bottom"/>
            <w:tcBorders>
              <w:top w:val="single" w:sz="8" w:color="auto"/>
              <w:bottom w:val="single" w:sz="8" w:color="00000A"/>
            </w:tcBorders>
          </w:tcPr>
          <w:p>
            <w:pPr>
              <w:spacing w:after="0"/>
              <w:rPr>
                <w:sz w:val="21"/>
                <w:szCs w:val="21"/>
                <w:color w:val="auto"/>
              </w:rPr>
            </w:pPr>
          </w:p>
        </w:tc>
        <w:tc>
          <w:tcPr>
            <w:tcW w:w="1280" w:type="dxa"/>
            <w:vAlign w:val="bottom"/>
            <w:tcBorders>
              <w:top w:val="single" w:sz="8" w:color="auto"/>
              <w:bottom w:val="single" w:sz="8" w:color="00000A"/>
            </w:tcBorders>
          </w:tcPr>
          <w:p>
            <w:pPr>
              <w:spacing w:after="0"/>
              <w:rPr>
                <w:sz w:val="21"/>
                <w:szCs w:val="21"/>
                <w:color w:val="auto"/>
              </w:rPr>
            </w:pPr>
          </w:p>
        </w:tc>
        <w:tc>
          <w:tcPr>
            <w:tcW w:w="460" w:type="dxa"/>
            <w:vAlign w:val="bottom"/>
            <w:tcBorders>
              <w:top w:val="single" w:sz="8" w:color="auto"/>
              <w:bottom w:val="single" w:sz="8" w:color="00000A"/>
              <w:right w:val="single" w:sz="8" w:color="00000A"/>
            </w:tcBorders>
          </w:tcPr>
          <w:p>
            <w:pPr>
              <w:spacing w:after="0"/>
              <w:rPr>
                <w:sz w:val="21"/>
                <w:szCs w:val="21"/>
                <w:color w:val="auto"/>
              </w:rPr>
            </w:pPr>
          </w:p>
        </w:tc>
        <w:tc>
          <w:tcPr>
            <w:tcW w:w="420" w:type="dxa"/>
            <w:vAlign w:val="bottom"/>
            <w:tcBorders>
              <w:top w:val="single" w:sz="8" w:color="auto"/>
              <w:bottom w:val="single" w:sz="8" w:color="00000A"/>
            </w:tcBorders>
          </w:tcPr>
          <w:p>
            <w:pPr>
              <w:spacing w:after="0"/>
              <w:rPr>
                <w:sz w:val="21"/>
                <w:szCs w:val="21"/>
                <w:color w:val="auto"/>
              </w:rPr>
            </w:pPr>
          </w:p>
        </w:tc>
        <w:tc>
          <w:tcPr>
            <w:tcW w:w="620" w:type="dxa"/>
            <w:vAlign w:val="bottom"/>
            <w:tcBorders>
              <w:top w:val="single" w:sz="8" w:color="auto"/>
              <w:bottom w:val="single" w:sz="8" w:color="00000A"/>
            </w:tcBorders>
          </w:tcPr>
          <w:p>
            <w:pPr>
              <w:spacing w:after="0"/>
              <w:rPr>
                <w:sz w:val="21"/>
                <w:szCs w:val="21"/>
                <w:color w:val="auto"/>
              </w:rPr>
            </w:pPr>
          </w:p>
        </w:tc>
        <w:tc>
          <w:tcPr>
            <w:tcW w:w="4520" w:type="dxa"/>
            <w:vAlign w:val="bottom"/>
            <w:tcBorders>
              <w:top w:val="single" w:sz="8" w:color="auto"/>
              <w:bottom w:val="single" w:sz="8" w:color="00000A"/>
              <w:right w:val="single" w:sz="8" w:color="00000A"/>
            </w:tcBorders>
            <w:gridSpan w:val="3"/>
          </w:tcPr>
          <w:p>
            <w:pPr>
              <w:jc w:val="right"/>
              <w:ind w:right="2197"/>
              <w:spacing w:after="0"/>
              <w:rPr>
                <w:sz w:val="20"/>
                <w:szCs w:val="20"/>
                <w:color w:val="auto"/>
              </w:rPr>
            </w:pPr>
            <w:r>
              <w:rPr>
                <w:rFonts w:ascii="Arial" w:cs="Arial" w:eastAsia="Arial" w:hAnsi="Arial"/>
                <w:sz w:val="20"/>
                <w:szCs w:val="20"/>
                <w:color w:val="auto"/>
              </w:rPr>
              <w:t>35-1544218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00000A"/>
            </w:tcBorders>
          </w:tcPr>
          <w:p>
            <w:pPr>
              <w:spacing w:after="0"/>
              <w:rPr>
                <w:sz w:val="19"/>
                <w:szCs w:val="19"/>
                <w:color w:val="auto"/>
              </w:rPr>
            </w:pPr>
          </w:p>
        </w:tc>
        <w:tc>
          <w:tcPr>
            <w:tcW w:w="5560" w:type="dxa"/>
            <w:vAlign w:val="bottom"/>
            <w:tcBorders>
              <w:bottom w:val="single" w:sz="8" w:color="00000A"/>
              <w:right w:val="single" w:sz="8" w:color="00000A"/>
            </w:tcBorders>
            <w:gridSpan w:val="4"/>
          </w:tcPr>
          <w:p>
            <w:pPr>
              <w:jc w:val="center"/>
              <w:spacing w:after="0"/>
              <w:rPr>
                <w:sz w:val="20"/>
                <w:szCs w:val="20"/>
                <w:color w:val="auto"/>
              </w:rPr>
            </w:pPr>
            <w:r>
              <w:rPr>
                <w:rFonts w:ascii="Arial" w:cs="Arial" w:eastAsia="Arial" w:hAnsi="Arial"/>
                <w:sz w:val="18"/>
                <w:szCs w:val="18"/>
                <w:color w:val="auto"/>
                <w:w w:val="99"/>
              </w:rPr>
              <w:t>(Commission File Number)</w:t>
            </w:r>
          </w:p>
        </w:tc>
        <w:tc>
          <w:tcPr>
            <w:tcW w:w="420" w:type="dxa"/>
            <w:vAlign w:val="bottom"/>
            <w:tcBorders>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4520" w:type="dxa"/>
            <w:vAlign w:val="bottom"/>
            <w:tcBorders>
              <w:bottom w:val="single" w:sz="8" w:color="00000A"/>
              <w:right w:val="single" w:sz="8" w:color="00000A"/>
            </w:tcBorders>
            <w:gridSpan w:val="3"/>
          </w:tcPr>
          <w:p>
            <w:pPr>
              <w:jc w:val="center"/>
              <w:ind w:right="997"/>
              <w:spacing w:after="0"/>
              <w:rPr>
                <w:sz w:val="20"/>
                <w:szCs w:val="20"/>
                <w:color w:val="auto"/>
              </w:rPr>
            </w:pPr>
            <w:r>
              <w:rPr>
                <w:rFonts w:ascii="Arial" w:cs="Arial" w:eastAsia="Arial" w:hAnsi="Arial"/>
                <w:sz w:val="18"/>
                <w:szCs w:val="18"/>
                <w:color w:val="auto"/>
                <w:w w:val="99"/>
              </w:rPr>
              <w:t>(IRS Employer Identification No.)</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2"/>
        </w:trPr>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13"/>
                <w:szCs w:val="13"/>
                <w:b w:val="1"/>
                <w:bCs w:val="1"/>
                <w:color w:val="auto"/>
              </w:rPr>
              <w:t>200 East Jackson Street, Muncie, IN</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2"/>
              </w:rPr>
              <w:t>47305-2814</w:t>
            </w:r>
          </w:p>
        </w:tc>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top w:val="single" w:sz="8" w:color="auto"/>
            </w:tcBorders>
            <w:gridSpan w:val="4"/>
          </w:tcPr>
          <w:p>
            <w:pPr>
              <w:ind w:left="40"/>
              <w:spacing w:after="0"/>
              <w:rPr>
                <w:sz w:val="20"/>
                <w:szCs w:val="20"/>
                <w:color w:val="auto"/>
              </w:rPr>
            </w:pPr>
            <w:r>
              <w:rPr>
                <w:rFonts w:ascii="Arial" w:cs="Arial" w:eastAsia="Arial" w:hAnsi="Arial"/>
                <w:sz w:val="13"/>
                <w:szCs w:val="13"/>
                <w:color w:val="auto"/>
              </w:rPr>
              <w:t>(Address of principal executive offices)</w:t>
            </w: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w w:val="99"/>
              </w:rPr>
              <w:t>(Zip code)</w:t>
            </w:r>
          </w:p>
        </w:tc>
        <w:tc>
          <w:tcPr>
            <w:tcW w:w="38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80" w:type="dxa"/>
            <w:vAlign w:val="bottom"/>
          </w:tcPr>
          <w:p>
            <w:pPr>
              <w:spacing w:after="0"/>
              <w:rPr>
                <w:sz w:val="24"/>
                <w:szCs w:val="24"/>
                <w:color w:val="auto"/>
              </w:rPr>
            </w:pPr>
          </w:p>
        </w:tc>
        <w:tc>
          <w:tcPr>
            <w:tcW w:w="11120" w:type="dxa"/>
            <w:vAlign w:val="bottom"/>
            <w:gridSpan w:val="9"/>
          </w:tcPr>
          <w:p>
            <w:pPr>
              <w:jc w:val="center"/>
              <w:spacing w:after="0"/>
              <w:rPr>
                <w:sz w:val="20"/>
                <w:szCs w:val="20"/>
                <w:color w:val="auto"/>
              </w:rPr>
            </w:pPr>
            <w:r>
              <w:rPr>
                <w:rFonts w:ascii="Arial" w:cs="Arial" w:eastAsia="Arial" w:hAnsi="Arial"/>
                <w:sz w:val="13"/>
                <w:szCs w:val="13"/>
                <w:color w:val="auto"/>
                <w:w w:val="96"/>
              </w:rPr>
              <w:t xml:space="preserve">(Registrant’s telephone number, including area code): </w:t>
            </w:r>
            <w:r>
              <w:rPr>
                <w:rFonts w:ascii="Arial" w:cs="Arial" w:eastAsia="Arial" w:hAnsi="Arial"/>
                <w:sz w:val="13"/>
                <w:szCs w:val="13"/>
                <w:b w:val="1"/>
                <w:bCs w:val="1"/>
                <w:color w:val="auto"/>
                <w:w w:val="96"/>
              </w:rPr>
              <w:t>(765) 747-1500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gridSpan w:val="3"/>
          </w:tcPr>
          <w:p>
            <w:pPr>
              <w:jc w:val="center"/>
              <w:ind w:right="557"/>
              <w:spacing w:after="0"/>
              <w:rPr>
                <w:sz w:val="20"/>
                <w:szCs w:val="20"/>
                <w:color w:val="auto"/>
              </w:rPr>
            </w:pPr>
            <w:r>
              <w:rPr>
                <w:rFonts w:ascii="Arial" w:cs="Arial" w:eastAsia="Arial" w:hAnsi="Arial"/>
                <w:sz w:val="13"/>
                <w:szCs w:val="13"/>
                <w:b w:val="1"/>
                <w:bCs w:val="1"/>
                <w:color w:val="auto"/>
                <w:w w:val="96"/>
              </w:rPr>
              <w:t>Not Applicable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140" w:type="dxa"/>
            <w:vAlign w:val="bottom"/>
            <w:gridSpan w:val="4"/>
            <w:vMerge w:val="restart"/>
          </w:tcPr>
          <w:p>
            <w:pPr>
              <w:ind w:left="60"/>
              <w:spacing w:after="0"/>
              <w:rPr>
                <w:sz w:val="20"/>
                <w:szCs w:val="20"/>
                <w:color w:val="auto"/>
              </w:rPr>
            </w:pPr>
            <w:r>
              <w:rPr>
                <w:rFonts w:ascii="Arial" w:cs="Arial" w:eastAsia="Arial" w:hAnsi="Arial"/>
                <w:sz w:val="13"/>
                <w:szCs w:val="13"/>
                <w:color w:val="auto"/>
              </w:rPr>
              <w:t>former fiscal year,</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3"/>
          </w:tcPr>
          <w:p>
            <w:pPr>
              <w:ind w:left="240"/>
              <w:spacing w:after="0" w:line="138" w:lineRule="exact"/>
              <w:rPr>
                <w:sz w:val="20"/>
                <w:szCs w:val="20"/>
                <w:color w:val="auto"/>
              </w:rPr>
            </w:pPr>
            <w:r>
              <w:rPr>
                <w:rFonts w:ascii="Arial" w:cs="Arial" w:eastAsia="Arial" w:hAnsi="Arial"/>
                <w:sz w:val="13"/>
                <w:szCs w:val="13"/>
                <w:color w:val="auto"/>
                <w:w w:val="93"/>
              </w:rPr>
              <w:t>(Former name, former address and</w:t>
            </w:r>
          </w:p>
        </w:tc>
        <w:tc>
          <w:tcPr>
            <w:tcW w:w="51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4"/>
          </w:tcPr>
          <w:p>
            <w:pPr>
              <w:jc w:val="center"/>
              <w:ind w:left="617"/>
              <w:spacing w:after="0"/>
              <w:rPr>
                <w:sz w:val="20"/>
                <w:szCs w:val="20"/>
                <w:color w:val="auto"/>
              </w:rPr>
            </w:pPr>
            <w:r>
              <w:rPr>
                <w:rFonts w:ascii="Arial" w:cs="Arial" w:eastAsia="Arial" w:hAnsi="Arial"/>
                <w:sz w:val="13"/>
                <w:szCs w:val="13"/>
                <w:color w:val="auto"/>
                <w:w w:val="96"/>
              </w:rPr>
              <w:t>if changed since last report)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00" w:type="dxa"/>
            <w:vAlign w:val="bottom"/>
            <w:gridSpan w:val="7"/>
          </w:tcPr>
          <w:p>
            <w:pPr>
              <w:jc w:val="center"/>
              <w:ind w:right="3797"/>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gridSpan w:val="4"/>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80" w:type="dxa"/>
            <w:vAlign w:val="bottom"/>
            <w:tcBorders>
              <w:left w:val="single" w:sz="8" w:color="auto"/>
              <w:bottom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3"/>
                <w:szCs w:val="13"/>
                <w:color w:val="auto"/>
                <w:w w:val="95"/>
              </w:rPr>
              <w:t>Title of Each Class</w:t>
            </w: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3"/>
                <w:szCs w:val="13"/>
                <w:color w:val="auto"/>
                <w:w w:val="96"/>
              </w:rPr>
              <w:t>Trading Symbol(s)</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Borders>
              <w:left w:val="single" w:sz="8" w:color="auto"/>
              <w:bottom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3"/>
                <w:szCs w:val="13"/>
                <w:color w:val="auto"/>
                <w:w w:val="96"/>
              </w:rPr>
              <w:t>Common Stock, $0.125 stated value per share</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557"/>
              <w:spacing w:after="0"/>
              <w:rPr>
                <w:sz w:val="20"/>
                <w:szCs w:val="20"/>
                <w:color w:val="auto"/>
              </w:rPr>
            </w:pPr>
            <w:r>
              <w:rPr>
                <w:rFonts w:ascii="Arial" w:cs="Arial" w:eastAsia="Arial" w:hAnsi="Arial"/>
                <w:sz w:val="13"/>
                <w:szCs w:val="13"/>
                <w:color w:val="auto"/>
                <w:w w:val="97"/>
              </w:rPr>
              <w:t>FRME</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c>
          <w:tcPr>
            <w:tcW w:w="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 w:type="dxa"/>
            <w:vAlign w:val="bottom"/>
            <w:tcBorders>
              <w:left w:val="single" w:sz="8" w:color="auto"/>
            </w:tcBorders>
          </w:tcPr>
          <w:p>
            <w:pPr>
              <w:spacing w:after="0"/>
              <w:rPr>
                <w:sz w:val="11"/>
                <w:szCs w:val="11"/>
                <w:color w:val="auto"/>
              </w:rPr>
            </w:pPr>
          </w:p>
        </w:tc>
        <w:tc>
          <w:tcPr>
            <w:tcW w:w="3680" w:type="dxa"/>
            <w:vAlign w:val="bottom"/>
            <w:tcBorders>
              <w:right w:val="single" w:sz="8" w:color="auto"/>
            </w:tcBorders>
          </w:tcPr>
          <w:p>
            <w:pPr>
              <w:jc w:val="center"/>
              <w:ind w:right="8"/>
              <w:spacing w:after="0" w:line="129" w:lineRule="exact"/>
              <w:rPr>
                <w:sz w:val="20"/>
                <w:szCs w:val="20"/>
                <w:color w:val="auto"/>
              </w:rPr>
            </w:pPr>
            <w:r>
              <w:rPr>
                <w:rFonts w:ascii="Arial" w:cs="Arial" w:eastAsia="Arial" w:hAnsi="Arial"/>
                <w:sz w:val="13"/>
                <w:szCs w:val="13"/>
                <w:color w:val="auto"/>
                <w:w w:val="96"/>
              </w:rPr>
              <w:t>Depositary Shares, each representing a 1/100th interest in a</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0" w:type="dxa"/>
            <w:vAlign w:val="bottom"/>
            <w:tcBorders>
              <w:left w:val="single" w:sz="8" w:color="auto"/>
              <w:bottom w:val="single" w:sz="8" w:color="auto"/>
            </w:tcBorders>
          </w:tcPr>
          <w:p>
            <w:pPr>
              <w:spacing w:after="0"/>
              <w:rPr>
                <w:sz w:val="15"/>
                <w:szCs w:val="15"/>
                <w:color w:val="auto"/>
              </w:rPr>
            </w:pPr>
          </w:p>
        </w:tc>
        <w:tc>
          <w:tcPr>
            <w:tcW w:w="368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3"/>
                <w:szCs w:val="13"/>
                <w:color w:val="auto"/>
                <w:w w:val="96"/>
              </w:rPr>
              <w:t>share of Non-Cumulative Perpetual Preferred Stock, Series A</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557"/>
              <w:spacing w:after="0"/>
              <w:rPr>
                <w:sz w:val="20"/>
                <w:szCs w:val="20"/>
                <w:color w:val="auto"/>
              </w:rPr>
            </w:pPr>
            <w:r>
              <w:rPr>
                <w:rFonts w:ascii="Arial" w:cs="Arial" w:eastAsia="Arial" w:hAnsi="Arial"/>
                <w:sz w:val="13"/>
                <w:szCs w:val="13"/>
                <w:color w:val="auto"/>
                <w:w w:val="96"/>
              </w:rPr>
              <w:t>FRMEP</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c>
          <w:tcPr>
            <w:tcW w:w="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6680" w:type="dxa"/>
            <w:vAlign w:val="bottom"/>
            <w:gridSpan w:val="7"/>
          </w:tcPr>
          <w:p>
            <w:pPr>
              <w:spacing w:after="0"/>
              <w:rPr>
                <w:sz w:val="20"/>
                <w:szCs w:val="20"/>
                <w:color w:val="auto"/>
              </w:rPr>
            </w:pPr>
            <w:r>
              <w:rPr>
                <w:rFonts w:ascii="Arial" w:cs="Arial" w:eastAsia="Arial" w:hAnsi="Arial"/>
                <w:sz w:val="13"/>
                <w:szCs w:val="13"/>
                <w:color w:val="auto"/>
                <w:w w:val="98"/>
              </w:rPr>
              <w:t>Indicate by check mark whether the registrant (1) has filed all reports required to be filed by Section 13 or 15 (d) of the</w:t>
            </w:r>
          </w:p>
        </w:tc>
        <w:tc>
          <w:tcPr>
            <w:tcW w:w="4520" w:type="dxa"/>
            <w:vAlign w:val="bottom"/>
            <w:gridSpan w:val="3"/>
          </w:tcPr>
          <w:p>
            <w:pPr>
              <w:ind w:left="60"/>
              <w:spacing w:after="0"/>
              <w:rPr>
                <w:sz w:val="20"/>
                <w:szCs w:val="20"/>
                <w:color w:val="auto"/>
              </w:rPr>
            </w:pPr>
            <w:r>
              <w:rPr>
                <w:rFonts w:ascii="Arial" w:cs="Arial" w:eastAsia="Arial" w:hAnsi="Arial"/>
                <w:sz w:val="13"/>
                <w:szCs w:val="13"/>
                <w:color w:val="auto"/>
                <w:w w:val="99"/>
              </w:rPr>
              <w:t>Securities Exchange Act of 1934 during the preceding 12 months (or for such</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900" w:type="dxa"/>
            <w:vAlign w:val="bottom"/>
            <w:gridSpan w:val="3"/>
          </w:tcPr>
          <w:p>
            <w:pPr>
              <w:spacing w:after="0"/>
              <w:rPr>
                <w:sz w:val="20"/>
                <w:szCs w:val="20"/>
                <w:color w:val="auto"/>
              </w:rPr>
            </w:pPr>
            <w:r>
              <w:rPr>
                <w:rFonts w:ascii="Arial" w:cs="Arial" w:eastAsia="Arial" w:hAnsi="Arial"/>
                <w:sz w:val="13"/>
                <w:szCs w:val="13"/>
                <w:color w:val="auto"/>
              </w:rPr>
              <w:t>shorter period that the registrant was required to file such reports),</w:t>
            </w:r>
          </w:p>
        </w:tc>
        <w:tc>
          <w:tcPr>
            <w:tcW w:w="7300" w:type="dxa"/>
            <w:vAlign w:val="bottom"/>
            <w:gridSpan w:val="7"/>
          </w:tcPr>
          <w:p>
            <w:pPr>
              <w:ind w:left="40"/>
              <w:spacing w:after="0" w:line="196" w:lineRule="exact"/>
              <w:rPr>
                <w:sz w:val="20"/>
                <w:szCs w:val="20"/>
                <w:color w:val="auto"/>
              </w:rPr>
            </w:pPr>
            <w:r>
              <w:rPr>
                <w:rFonts w:ascii="Arial" w:cs="Arial" w:eastAsia="Arial" w:hAnsi="Arial"/>
                <w:sz w:val="13"/>
                <w:szCs w:val="13"/>
                <w:color w:val="auto"/>
              </w:rPr>
              <w:t xml:space="preserve">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0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3"/>
          <w:szCs w:val="13"/>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jc w:val="both"/>
        <w:ind w:right="20"/>
        <w:spacing w:after="0" w:line="28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877" w:right="319" w:bottom="1440" w:gutter="0" w:footer="0" w:header="0"/>
        </w:sectPr>
      </w:pPr>
    </w:p>
    <w:p>
      <w:pPr>
        <w:spacing w:after="0" w:line="238"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188"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670" w:hanging="670"/>
        <w:spacing w:after="0"/>
        <w:tabs>
          <w:tab w:leader="none" w:pos="670" w:val="left"/>
        </w:tabs>
        <w:numPr>
          <w:ilvl w:val="0"/>
          <w:numId w:val="1"/>
        </w:numPr>
        <w:rPr>
          <w:rFonts w:ascii="MS PGothic" w:cs="MS PGothic" w:eastAsia="MS PGothic" w:hAnsi="MS PGothic"/>
          <w:sz w:val="18"/>
          <w:szCs w:val="18"/>
          <w:color w:val="auto"/>
        </w:rPr>
      </w:pPr>
      <w:r>
        <w:rPr>
          <w:rFonts w:ascii="Arial" w:cs="Arial" w:eastAsia="Arial" w:hAnsi="Arial"/>
          <w:sz w:val="13"/>
          <w:szCs w:val="13"/>
          <w:color w:val="auto"/>
        </w:rPr>
        <w:t>Accelerated Filer</w:t>
      </w:r>
    </w:p>
    <w:p>
      <w:pPr>
        <w:spacing w:after="0" w:line="166" w:lineRule="exact"/>
        <w:rPr>
          <w:sz w:val="24"/>
          <w:szCs w:val="24"/>
          <w:color w:val="auto"/>
        </w:rPr>
      </w:pPr>
    </w:p>
    <w:p>
      <w:pPr>
        <w:ind w:left="670" w:hanging="670"/>
        <w:spacing w:after="0"/>
        <w:tabs>
          <w:tab w:leader="none" w:pos="670" w:val="left"/>
        </w:tabs>
        <w:numPr>
          <w:ilvl w:val="0"/>
          <w:numId w:val="2"/>
        </w:numPr>
        <w:rPr>
          <w:rFonts w:ascii="MS PGothic" w:cs="MS PGothic" w:eastAsia="MS PGothic" w:hAnsi="MS PGothic"/>
          <w:sz w:val="17"/>
          <w:szCs w:val="17"/>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83" w:lineRule="exact"/>
        <w:tabs>
          <w:tab w:leader="none" w:pos="640" w:val="left"/>
          <w:tab w:leader="none" w:pos="37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17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80" w:lineRule="exact"/>
        <w:rPr>
          <w:sz w:val="24"/>
          <w:szCs w:val="24"/>
          <w:color w:val="auto"/>
        </w:rPr>
      </w:pPr>
    </w:p>
    <w:p>
      <w:pPr>
        <w:sectPr>
          <w:pgSz w:w="11900" w:h="16838" w:orient="portrait"/>
          <w:cols w:equalWidth="0" w:num="3">
            <w:col w:w="2370" w:space="720"/>
            <w:col w:w="3030" w:space="720"/>
            <w:col w:w="4420"/>
          </w:cols>
          <w:pgMar w:left="320" w:top="877" w:right="319" w:bottom="1440" w:gutter="0" w:footer="0" w:header="0"/>
          <w:type w:val="continuous"/>
        </w:sectPr>
      </w:pPr>
    </w:p>
    <w:p>
      <w:pPr>
        <w:spacing w:after="0" w:line="134" w:lineRule="exact"/>
        <w:rPr>
          <w:sz w:val="24"/>
          <w:szCs w:val="24"/>
          <w:color w:val="auto"/>
        </w:rPr>
      </w:pPr>
    </w:p>
    <w:p>
      <w:pPr>
        <w:ind w:right="460"/>
        <w:spacing w:after="0" w:line="20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7" w:lineRule="exact"/>
        <w:rPr>
          <w:sz w:val="24"/>
          <w:szCs w:val="24"/>
          <w:color w:val="auto"/>
        </w:rPr>
      </w:pPr>
    </w:p>
    <w:p>
      <w:pPr>
        <w:spacing w:after="0" w:line="196" w:lineRule="exact"/>
        <w:tabs>
          <w:tab w:leader="none" w:pos="68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6"/>
          <w:szCs w:val="16"/>
          <w:color w:val="auto"/>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As of October 27, 2026, there were 62,676,988 outstanding common shares of the registrant.</w:t>
      </w:r>
    </w:p>
    <w:p>
      <w:pPr>
        <w:sectPr>
          <w:pgSz w:w="11900" w:h="16838" w:orient="portrait"/>
          <w:cols w:equalWidth="0" w:num="1">
            <w:col w:w="11260"/>
          </w:cols>
          <w:pgMar w:left="320" w:top="877" w:right="319" w:bottom="144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3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0" w:type="dxa"/>
            <w:vAlign w:val="bottom"/>
            <w:gridSpan w:val="7"/>
          </w:tcPr>
          <w:p>
            <w:pPr>
              <w:ind w:left="160"/>
              <w:spacing w:after="0"/>
              <w:rPr>
                <w:sz w:val="20"/>
                <w:szCs w:val="20"/>
                <w:color w:val="auto"/>
              </w:rPr>
            </w:pPr>
            <w:r>
              <w:rPr>
                <w:rFonts w:ascii="Times New Roman" w:cs="Times New Roman" w:eastAsia="Times New Roman" w:hAnsi="Times New Roman"/>
                <w:sz w:val="25"/>
                <w:szCs w:val="25"/>
                <w:b w:val="1"/>
                <w:bCs w:val="1"/>
                <w:i w:val="1"/>
                <w:iCs w:val="1"/>
                <w:color w:val="auto"/>
              </w:rPr>
              <w:t>TABLE OF CONTENTS</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95"/>
        </w:trPr>
        <w:tc>
          <w:tcPr>
            <w:tcW w:w="8560" w:type="dxa"/>
            <w:vAlign w:val="bottom"/>
            <w:gridSpan w:val="20"/>
          </w:tcPr>
          <w:p>
            <w:pPr>
              <w:spacing w:after="0"/>
              <w:rPr>
                <w:sz w:val="20"/>
                <w:szCs w:val="20"/>
                <w:color w:val="auto"/>
              </w:rPr>
            </w:pPr>
            <w:r>
              <w:rPr>
                <w:rFonts w:ascii="Arial" w:cs="Arial" w:eastAsia="Arial" w:hAnsi="Arial"/>
                <w:sz w:val="18"/>
                <w:szCs w:val="18"/>
                <w:b w:val="1"/>
                <w:bCs w:val="1"/>
                <w:color w:val="auto"/>
              </w:rPr>
              <w:t>FIRST MERCHANTS CORPORATION</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51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80" w:type="dxa"/>
            <w:vAlign w:val="bottom"/>
            <w:gridSpan w:val="4"/>
          </w:tcPr>
          <w:p>
            <w:pPr>
              <w:ind w:left="1640"/>
              <w:spacing w:after="0"/>
              <w:rPr>
                <w:sz w:val="20"/>
                <w:szCs w:val="20"/>
                <w:color w:val="auto"/>
              </w:rPr>
            </w:pPr>
            <w:r>
              <w:rPr>
                <w:rFonts w:ascii="Arial" w:cs="Arial" w:eastAsia="Arial" w:hAnsi="Arial"/>
                <w:sz w:val="13"/>
                <w:szCs w:val="13"/>
                <w:color w:val="auto"/>
              </w:rPr>
              <w:t>Page No.</w:t>
            </w:r>
          </w:p>
        </w:tc>
      </w:tr>
      <w:tr>
        <w:trPr>
          <w:trHeight w:val="149"/>
        </w:trPr>
        <w:tc>
          <w:tcPr>
            <w:tcW w:w="20" w:type="dxa"/>
            <w:vAlign w:val="bottom"/>
          </w:tcPr>
          <w:p>
            <w:pPr>
              <w:spacing w:after="0"/>
              <w:rPr>
                <w:sz w:val="12"/>
                <w:szCs w:val="12"/>
                <w:color w:val="auto"/>
              </w:rPr>
            </w:pPr>
          </w:p>
        </w:tc>
        <w:tc>
          <w:tcPr>
            <w:tcW w:w="8540" w:type="dxa"/>
            <w:vAlign w:val="bottom"/>
            <w:gridSpan w:val="19"/>
          </w:tcPr>
          <w:p>
            <w:pPr>
              <w:spacing w:after="0"/>
              <w:rPr>
                <w:sz w:val="20"/>
                <w:szCs w:val="20"/>
                <w:color w:val="auto"/>
              </w:rPr>
            </w:pPr>
            <w:r>
              <w:rPr>
                <w:rFonts w:ascii="Arial" w:cs="Arial" w:eastAsia="Arial" w:hAnsi="Arial"/>
                <w:sz w:val="13"/>
                <w:szCs w:val="13"/>
                <w:color w:val="0000FF"/>
              </w:rPr>
              <w:t>Glossary of Defined Terms</w:t>
            </w:r>
          </w:p>
        </w:tc>
        <w:tc>
          <w:tcPr>
            <w:tcW w:w="1960" w:type="dxa"/>
            <w:vAlign w:val="bottom"/>
            <w:gridSpan w:val="3"/>
          </w:tcPr>
          <w:p>
            <w:pPr>
              <w:jc w:val="center"/>
              <w:ind w:left="1777"/>
              <w:spacing w:after="0"/>
              <w:rPr>
                <w:sz w:val="20"/>
                <w:szCs w:val="20"/>
                <w:color w:val="auto"/>
              </w:rPr>
            </w:pPr>
            <w:r>
              <w:rPr>
                <w:rFonts w:ascii="Arial" w:cs="Arial" w:eastAsia="Arial" w:hAnsi="Arial"/>
                <w:sz w:val="13"/>
                <w:szCs w:val="13"/>
                <w:color w:val="0000FF"/>
              </w:rPr>
              <w:t>3</w:t>
            </w:r>
          </w:p>
        </w:tc>
        <w:tc>
          <w:tcPr>
            <w:tcW w:w="7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3"/>
                <w:szCs w:val="13"/>
                <w:color w:val="0000FF"/>
              </w:rPr>
              <w:t>Part I. Financial Information</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1.</w:t>
            </w:r>
          </w:p>
        </w:tc>
        <w:tc>
          <w:tcPr>
            <w:tcW w:w="7060" w:type="dxa"/>
            <w:vAlign w:val="bottom"/>
            <w:gridSpan w:val="16"/>
          </w:tcPr>
          <w:p>
            <w:pPr>
              <w:spacing w:after="0"/>
              <w:rPr>
                <w:sz w:val="20"/>
                <w:szCs w:val="20"/>
                <w:color w:val="auto"/>
              </w:rPr>
            </w:pPr>
            <w:r>
              <w:rPr>
                <w:rFonts w:ascii="Arial" w:cs="Arial" w:eastAsia="Arial" w:hAnsi="Arial"/>
                <w:sz w:val="13"/>
                <w:szCs w:val="13"/>
                <w:color w:val="0000FF"/>
              </w:rPr>
              <w:t>Financial Statements (Unaudited):</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5"/>
              </w:rPr>
              <w:t>Consolidated Condensed Balance Sheets</w:t>
            </w:r>
          </w:p>
        </w:tc>
        <w:tc>
          <w:tcPr>
            <w:tcW w:w="4740" w:type="dxa"/>
            <w:vAlign w:val="bottom"/>
            <w:gridSpan w:val="8"/>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5"/>
              </w:rPr>
              <w:t>Consolidated Condensed Statements of Income</w:t>
            </w:r>
          </w:p>
        </w:tc>
        <w:tc>
          <w:tcPr>
            <w:tcW w:w="4400" w:type="dxa"/>
            <w:vAlign w:val="bottom"/>
            <w:gridSpan w:val="7"/>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tcBorders>
              <w:bottom w:val="single" w:sz="8" w:color="0000FF"/>
            </w:tcBorders>
            <w:gridSpan w:val="14"/>
          </w:tcPr>
          <w:p>
            <w:pPr>
              <w:spacing w:after="0"/>
              <w:rPr>
                <w:sz w:val="20"/>
                <w:szCs w:val="20"/>
                <w:color w:val="auto"/>
              </w:rPr>
            </w:pPr>
            <w:r>
              <w:rPr>
                <w:rFonts w:ascii="Arial" w:cs="Arial" w:eastAsia="Arial" w:hAnsi="Arial"/>
                <w:sz w:val="13"/>
                <w:szCs w:val="13"/>
                <w:color w:val="0000FF"/>
                <w:w w:val="95"/>
              </w:rPr>
              <w:t>Consolidated Condensed Statements of Comprehensive Income (Loss)</w:t>
            </w:r>
          </w:p>
        </w:tc>
        <w:tc>
          <w:tcPr>
            <w:tcW w:w="3100" w:type="dxa"/>
            <w:vAlign w:val="bottom"/>
            <w:gridSpan w:val="2"/>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60" w:type="dxa"/>
            <w:vAlign w:val="bottom"/>
            <w:gridSpan w:val="16"/>
          </w:tcPr>
          <w:p>
            <w:pPr>
              <w:spacing w:after="0"/>
              <w:rPr>
                <w:sz w:val="20"/>
                <w:szCs w:val="20"/>
                <w:color w:val="auto"/>
              </w:rPr>
            </w:pPr>
            <w:r>
              <w:rPr>
                <w:rFonts w:ascii="Arial" w:cs="Arial" w:eastAsia="Arial" w:hAnsi="Arial"/>
                <w:sz w:val="13"/>
                <w:szCs w:val="13"/>
                <w:color w:val="0000FF"/>
              </w:rPr>
              <w:t>Consolidated Condensed Statements of Stockholders' Equity</w:t>
            </w:r>
          </w:p>
        </w:tc>
        <w:tc>
          <w:tcPr>
            <w:tcW w:w="1960" w:type="dxa"/>
            <w:vAlign w:val="bottom"/>
            <w:gridSpan w:val="3"/>
          </w:tcPr>
          <w:p>
            <w:pPr>
              <w:jc w:val="center"/>
              <w:ind w:left="1777"/>
              <w:spacing w:after="0"/>
              <w:rPr>
                <w:sz w:val="20"/>
                <w:szCs w:val="20"/>
                <w:color w:val="auto"/>
              </w:rPr>
            </w:pPr>
            <w:r>
              <w:rPr>
                <w:rFonts w:ascii="Arial" w:cs="Arial" w:eastAsia="Arial" w:hAnsi="Arial"/>
                <w:sz w:val="13"/>
                <w:szCs w:val="13"/>
                <w:color w:val="0000FF"/>
              </w:rPr>
              <w:t>7</w:t>
            </w:r>
          </w:p>
        </w:tc>
        <w:tc>
          <w:tcPr>
            <w:tcW w:w="7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tcBorders>
              <w:top w:val="single" w:sz="8" w:color="0000FF"/>
            </w:tcBorders>
            <w:gridSpan w:val="13"/>
          </w:tcPr>
          <w:p>
            <w:pPr>
              <w:spacing w:after="0"/>
              <w:rPr>
                <w:sz w:val="20"/>
                <w:szCs w:val="20"/>
                <w:color w:val="auto"/>
              </w:rPr>
            </w:pPr>
            <w:r>
              <w:rPr>
                <w:rFonts w:ascii="Arial" w:cs="Arial" w:eastAsia="Arial" w:hAnsi="Arial"/>
                <w:sz w:val="13"/>
                <w:szCs w:val="13"/>
                <w:color w:val="0000FF"/>
              </w:rPr>
              <w:t>Consolidated Condensed Statements of Cash Flows</w:t>
            </w:r>
          </w:p>
        </w:tc>
        <w:tc>
          <w:tcPr>
            <w:tcW w:w="3680" w:type="dxa"/>
            <w:vAlign w:val="bottom"/>
            <w:gridSpan w:val="3"/>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3"/>
                <w:szCs w:val="13"/>
                <w:color w:val="0000FF"/>
              </w:rPr>
              <w:t>9</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20" w:type="dxa"/>
            <w:vAlign w:val="bottom"/>
            <w:gridSpan w:val="11"/>
          </w:tcPr>
          <w:p>
            <w:pPr>
              <w:spacing w:after="0"/>
              <w:rPr>
                <w:sz w:val="20"/>
                <w:szCs w:val="20"/>
                <w:color w:val="auto"/>
              </w:rPr>
            </w:pPr>
            <w:r>
              <w:rPr>
                <w:rFonts w:ascii="Arial" w:cs="Arial" w:eastAsia="Arial" w:hAnsi="Arial"/>
                <w:sz w:val="13"/>
                <w:szCs w:val="13"/>
                <w:color w:val="0000FF"/>
                <w:w w:val="95"/>
              </w:rPr>
              <w:t>Notes to Consolidated Condensed Financial Statements</w:t>
            </w:r>
          </w:p>
        </w:tc>
        <w:tc>
          <w:tcPr>
            <w:tcW w:w="3940" w:type="dxa"/>
            <w:vAlign w:val="bottom"/>
            <w:gridSpan w:val="5"/>
          </w:tcPr>
          <w:p>
            <w:pPr>
              <w:spacing w:after="0"/>
              <w:rPr>
                <w:sz w:val="13"/>
                <w:szCs w:val="13"/>
                <w:color w:val="auto"/>
              </w:rPr>
            </w:pPr>
          </w:p>
        </w:tc>
        <w:tc>
          <w:tcPr>
            <w:tcW w:w="1960" w:type="dxa"/>
            <w:vAlign w:val="bottom"/>
            <w:gridSpan w:val="3"/>
          </w:tcPr>
          <w:p>
            <w:pPr>
              <w:jc w:val="center"/>
              <w:ind w:left="1777"/>
              <w:spacing w:after="0"/>
              <w:rPr>
                <w:sz w:val="20"/>
                <w:szCs w:val="20"/>
                <w:color w:val="auto"/>
              </w:rPr>
            </w:pPr>
            <w:r>
              <w:rPr>
                <w:rFonts w:ascii="Arial" w:cs="Arial" w:eastAsia="Arial" w:hAnsi="Arial"/>
                <w:sz w:val="13"/>
                <w:szCs w:val="13"/>
                <w:color w:val="0000FF"/>
                <w:w w:val="82"/>
              </w:rPr>
              <w:t>11</w:t>
            </w:r>
          </w:p>
        </w:tc>
        <w:tc>
          <w:tcPr>
            <w:tcW w:w="7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2.</w:t>
            </w:r>
          </w:p>
        </w:tc>
        <w:tc>
          <w:tcPr>
            <w:tcW w:w="4940" w:type="dxa"/>
            <w:vAlign w:val="bottom"/>
            <w:gridSpan w:val="15"/>
          </w:tcPr>
          <w:p>
            <w:pPr>
              <w:spacing w:after="0"/>
              <w:rPr>
                <w:sz w:val="20"/>
                <w:szCs w:val="20"/>
                <w:color w:val="auto"/>
              </w:rPr>
            </w:pPr>
            <w:r>
              <w:rPr>
                <w:rFonts w:ascii="Arial" w:cs="Arial" w:eastAsia="Arial" w:hAnsi="Arial"/>
                <w:sz w:val="13"/>
                <w:szCs w:val="13"/>
                <w:color w:val="0000FF"/>
                <w:w w:val="96"/>
              </w:rPr>
              <w:t>Management's Discussion and Analysis of Financial Condition and Results of Operations</w:t>
            </w:r>
          </w:p>
        </w:tc>
        <w:tc>
          <w:tcPr>
            <w:tcW w:w="2120" w:type="dxa"/>
            <w:vAlign w:val="bottom"/>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44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3.</w:t>
            </w:r>
          </w:p>
        </w:tc>
        <w:tc>
          <w:tcPr>
            <w:tcW w:w="4940" w:type="dxa"/>
            <w:vAlign w:val="bottom"/>
            <w:gridSpan w:val="15"/>
          </w:tcPr>
          <w:p>
            <w:pPr>
              <w:spacing w:after="0"/>
              <w:rPr>
                <w:sz w:val="20"/>
                <w:szCs w:val="20"/>
                <w:color w:val="auto"/>
              </w:rPr>
            </w:pPr>
            <w:r>
              <w:rPr>
                <w:rFonts w:ascii="Arial" w:cs="Arial" w:eastAsia="Arial" w:hAnsi="Arial"/>
                <w:sz w:val="13"/>
                <w:szCs w:val="13"/>
                <w:color w:val="0000FF"/>
              </w:rPr>
              <w:t>Quantitative and Qualitative Disclosures About Market Risk</w:t>
            </w:r>
          </w:p>
        </w:tc>
        <w:tc>
          <w:tcPr>
            <w:tcW w:w="2120" w:type="dxa"/>
            <w:vAlign w:val="bottom"/>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4.</w:t>
            </w:r>
          </w:p>
        </w:tc>
        <w:tc>
          <w:tcPr>
            <w:tcW w:w="3280" w:type="dxa"/>
            <w:vAlign w:val="bottom"/>
            <w:gridSpan w:val="12"/>
          </w:tcPr>
          <w:p>
            <w:pPr>
              <w:spacing w:after="0"/>
              <w:rPr>
                <w:sz w:val="20"/>
                <w:szCs w:val="20"/>
                <w:color w:val="auto"/>
              </w:rPr>
            </w:pPr>
            <w:r>
              <w:rPr>
                <w:rFonts w:ascii="Arial" w:cs="Arial" w:eastAsia="Arial" w:hAnsi="Arial"/>
                <w:sz w:val="13"/>
                <w:szCs w:val="13"/>
                <w:color w:val="0000FF"/>
              </w:rPr>
              <w:t>Controls and Procedures</w:t>
            </w:r>
          </w:p>
        </w:tc>
        <w:tc>
          <w:tcPr>
            <w:tcW w:w="3780" w:type="dxa"/>
            <w:vAlign w:val="bottom"/>
            <w:gridSpan w:val="4"/>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65</w:t>
            </w:r>
          </w:p>
        </w:tc>
      </w:tr>
      <w:tr>
        <w:trPr>
          <w:trHeight w:val="209"/>
        </w:trPr>
        <w:tc>
          <w:tcPr>
            <w:tcW w:w="20" w:type="dxa"/>
            <w:vAlign w:val="bottom"/>
          </w:tcPr>
          <w:p>
            <w:pPr>
              <w:spacing w:after="0"/>
              <w:rPr>
                <w:sz w:val="18"/>
                <w:szCs w:val="18"/>
                <w:color w:val="auto"/>
              </w:rPr>
            </w:pPr>
          </w:p>
        </w:tc>
        <w:tc>
          <w:tcPr>
            <w:tcW w:w="140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6"/>
              </w:rPr>
              <w:t>Part II. Other Information</w:t>
            </w:r>
          </w:p>
        </w:tc>
        <w:tc>
          <w:tcPr>
            <w:tcW w:w="8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1.</w:t>
            </w:r>
          </w:p>
        </w:tc>
        <w:tc>
          <w:tcPr>
            <w:tcW w:w="7060" w:type="dxa"/>
            <w:vAlign w:val="bottom"/>
            <w:gridSpan w:val="16"/>
          </w:tcPr>
          <w:p>
            <w:pPr>
              <w:spacing w:after="0"/>
              <w:rPr>
                <w:sz w:val="20"/>
                <w:szCs w:val="20"/>
                <w:color w:val="auto"/>
              </w:rPr>
            </w:pPr>
            <w:r>
              <w:rPr>
                <w:rFonts w:ascii="Arial" w:cs="Arial" w:eastAsia="Arial" w:hAnsi="Arial"/>
                <w:sz w:val="13"/>
                <w:szCs w:val="13"/>
                <w:color w:val="0000FF"/>
              </w:rPr>
              <w:t>Legal Proceedings</w:t>
            </w: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1A.</w:t>
            </w:r>
          </w:p>
        </w:tc>
        <w:tc>
          <w:tcPr>
            <w:tcW w:w="960" w:type="dxa"/>
            <w:vAlign w:val="bottom"/>
            <w:gridSpan w:val="3"/>
          </w:tcPr>
          <w:p>
            <w:pPr>
              <w:spacing w:after="0"/>
              <w:rPr>
                <w:sz w:val="20"/>
                <w:szCs w:val="20"/>
                <w:color w:val="auto"/>
              </w:rPr>
            </w:pPr>
            <w:r>
              <w:rPr>
                <w:rFonts w:ascii="Arial" w:cs="Arial" w:eastAsia="Arial" w:hAnsi="Arial"/>
                <w:sz w:val="13"/>
                <w:szCs w:val="13"/>
                <w:color w:val="0000FF"/>
              </w:rPr>
              <w:t>Risk Factors</w:t>
            </w:r>
          </w:p>
        </w:tc>
        <w:tc>
          <w:tcPr>
            <w:tcW w:w="6100" w:type="dxa"/>
            <w:vAlign w:val="bottom"/>
            <w:gridSpan w:val="13"/>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2.</w:t>
            </w:r>
          </w:p>
        </w:tc>
        <w:tc>
          <w:tcPr>
            <w:tcW w:w="3380" w:type="dxa"/>
            <w:vAlign w:val="bottom"/>
            <w:gridSpan w:val="13"/>
          </w:tcPr>
          <w:p>
            <w:pPr>
              <w:spacing w:after="0"/>
              <w:rPr>
                <w:sz w:val="20"/>
                <w:szCs w:val="20"/>
                <w:color w:val="auto"/>
              </w:rPr>
            </w:pPr>
            <w:r>
              <w:rPr>
                <w:rFonts w:ascii="Arial" w:cs="Arial" w:eastAsia="Arial" w:hAnsi="Arial"/>
                <w:sz w:val="13"/>
                <w:szCs w:val="13"/>
                <w:color w:val="0000FF"/>
                <w:w w:val="95"/>
              </w:rPr>
              <w:t>Unregistered Sales of Equity Securities and Use of Proceeds</w:t>
            </w:r>
          </w:p>
        </w:tc>
        <w:tc>
          <w:tcPr>
            <w:tcW w:w="3680" w:type="dxa"/>
            <w:vAlign w:val="bottom"/>
            <w:gridSpan w:val="3"/>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3.</w:t>
            </w:r>
          </w:p>
        </w:tc>
        <w:tc>
          <w:tcPr>
            <w:tcW w:w="3380" w:type="dxa"/>
            <w:vAlign w:val="bottom"/>
            <w:gridSpan w:val="13"/>
          </w:tcPr>
          <w:p>
            <w:pPr>
              <w:spacing w:after="0"/>
              <w:rPr>
                <w:sz w:val="20"/>
                <w:szCs w:val="20"/>
                <w:color w:val="auto"/>
              </w:rPr>
            </w:pPr>
            <w:r>
              <w:rPr>
                <w:rFonts w:ascii="Arial" w:cs="Arial" w:eastAsia="Arial" w:hAnsi="Arial"/>
                <w:sz w:val="13"/>
                <w:szCs w:val="13"/>
                <w:color w:val="0000FF"/>
              </w:rPr>
              <w:t>Defaults Upon Senior Securities</w:t>
            </w:r>
          </w:p>
        </w:tc>
        <w:tc>
          <w:tcPr>
            <w:tcW w:w="3680" w:type="dxa"/>
            <w:vAlign w:val="bottom"/>
            <w:gridSpan w:val="3"/>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4.</w:t>
            </w:r>
          </w:p>
        </w:tc>
        <w:tc>
          <w:tcPr>
            <w:tcW w:w="1340" w:type="dxa"/>
            <w:vAlign w:val="bottom"/>
            <w:gridSpan w:val="4"/>
          </w:tcPr>
          <w:p>
            <w:pPr>
              <w:spacing w:after="0"/>
              <w:rPr>
                <w:sz w:val="20"/>
                <w:szCs w:val="20"/>
                <w:color w:val="auto"/>
              </w:rPr>
            </w:pPr>
            <w:r>
              <w:rPr>
                <w:rFonts w:ascii="Arial" w:cs="Arial" w:eastAsia="Arial" w:hAnsi="Arial"/>
                <w:sz w:val="13"/>
                <w:szCs w:val="13"/>
                <w:color w:val="0000FF"/>
                <w:w w:val="94"/>
              </w:rPr>
              <w:t>Mine Safety Disclosures</w:t>
            </w:r>
          </w:p>
        </w:tc>
        <w:tc>
          <w:tcPr>
            <w:tcW w:w="420" w:type="dxa"/>
            <w:vAlign w:val="bottom"/>
            <w:gridSpan w:val="2"/>
          </w:tcPr>
          <w:p>
            <w:pPr>
              <w:spacing w:after="0"/>
              <w:rPr>
                <w:sz w:val="13"/>
                <w:szCs w:val="13"/>
                <w:color w:val="auto"/>
              </w:rPr>
            </w:pPr>
          </w:p>
        </w:tc>
        <w:tc>
          <w:tcPr>
            <w:tcW w:w="5300" w:type="dxa"/>
            <w:vAlign w:val="bottom"/>
            <w:gridSpan w:val="10"/>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5.</w:t>
            </w:r>
          </w:p>
        </w:tc>
        <w:tc>
          <w:tcPr>
            <w:tcW w:w="1340" w:type="dxa"/>
            <w:vAlign w:val="bottom"/>
            <w:gridSpan w:val="4"/>
          </w:tcPr>
          <w:p>
            <w:pPr>
              <w:spacing w:after="0"/>
              <w:rPr>
                <w:sz w:val="20"/>
                <w:szCs w:val="20"/>
                <w:color w:val="auto"/>
              </w:rPr>
            </w:pPr>
            <w:r>
              <w:rPr>
                <w:rFonts w:ascii="Arial" w:cs="Arial" w:eastAsia="Arial" w:hAnsi="Arial"/>
                <w:sz w:val="13"/>
                <w:szCs w:val="13"/>
                <w:color w:val="0000FF"/>
              </w:rPr>
              <w:t>Other Information</w:t>
            </w:r>
          </w:p>
        </w:tc>
        <w:tc>
          <w:tcPr>
            <w:tcW w:w="5720" w:type="dxa"/>
            <w:vAlign w:val="bottom"/>
            <w:gridSpan w:val="12"/>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auto"/>
              </w:rPr>
              <w:t>Item 6.</w:t>
            </w:r>
          </w:p>
        </w:tc>
        <w:tc>
          <w:tcPr>
            <w:tcW w:w="960" w:type="dxa"/>
            <w:vAlign w:val="bottom"/>
            <w:gridSpan w:val="3"/>
          </w:tcPr>
          <w:p>
            <w:pPr>
              <w:spacing w:after="0"/>
              <w:rPr>
                <w:sz w:val="20"/>
                <w:szCs w:val="20"/>
                <w:color w:val="auto"/>
              </w:rPr>
            </w:pPr>
            <w:r>
              <w:rPr>
                <w:rFonts w:ascii="Arial" w:cs="Arial" w:eastAsia="Arial" w:hAnsi="Arial"/>
                <w:sz w:val="13"/>
                <w:szCs w:val="13"/>
                <w:color w:val="0000FF"/>
              </w:rPr>
              <w:t>Exhibits</w:t>
            </w:r>
          </w:p>
        </w:tc>
        <w:tc>
          <w:tcPr>
            <w:tcW w:w="6100" w:type="dxa"/>
            <w:vAlign w:val="bottom"/>
            <w:gridSpan w:val="13"/>
          </w:tcPr>
          <w:p>
            <w:pPr>
              <w:spacing w:after="0"/>
              <w:rPr>
                <w:sz w:val="13"/>
                <w:szCs w:val="13"/>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3"/>
                <w:szCs w:val="13"/>
                <w:color w:val="0000FF"/>
              </w:rPr>
              <w:t>Signatures</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80" w:type="dxa"/>
            <w:vAlign w:val="bottom"/>
            <w:gridSpan w:val="4"/>
          </w:tcPr>
          <w:p>
            <w:pPr>
              <w:jc w:val="center"/>
              <w:ind w:left="1077"/>
              <w:spacing w:after="0"/>
              <w:rPr>
                <w:sz w:val="20"/>
                <w:szCs w:val="20"/>
                <w:color w:val="auto"/>
              </w:rPr>
            </w:pPr>
            <w:r>
              <w:rPr>
                <w:rFonts w:ascii="Arial" w:cs="Arial" w:eastAsia="Arial" w:hAnsi="Arial"/>
                <w:sz w:val="13"/>
                <w:szCs w:val="13"/>
                <w:color w:val="0000FF"/>
                <w:w w:val="96"/>
              </w:rPr>
              <w:t>68</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34"/>
        </w:trPr>
        <w:tc>
          <w:tcPr>
            <w:tcW w:w="1840" w:type="dxa"/>
            <w:vAlign w:val="bottom"/>
          </w:tcPr>
          <w:p>
            <w:pPr>
              <w:spacing w:after="0"/>
              <w:rPr>
                <w:sz w:val="24"/>
                <w:szCs w:val="24"/>
                <w:color w:val="auto"/>
              </w:rPr>
            </w:pPr>
          </w:p>
        </w:tc>
        <w:tc>
          <w:tcPr>
            <w:tcW w:w="9400" w:type="dxa"/>
            <w:vAlign w:val="bottom"/>
          </w:tcPr>
          <w:p>
            <w:pPr>
              <w:ind w:left="1880"/>
              <w:spacing w:after="0"/>
              <w:rPr>
                <w:sz w:val="20"/>
                <w:szCs w:val="20"/>
                <w:color w:val="auto"/>
              </w:rPr>
            </w:pPr>
            <w:r>
              <w:rPr>
                <w:rFonts w:ascii="Times New Roman" w:cs="Times New Roman" w:eastAsia="Times New Roman" w:hAnsi="Times New Roman"/>
                <w:sz w:val="25"/>
                <w:szCs w:val="25"/>
                <w:b w:val="1"/>
                <w:bCs w:val="1"/>
                <w:i w:val="1"/>
                <w:iCs w:val="1"/>
                <w:color w:val="auto"/>
              </w:rPr>
              <w:t>GLOSSARY OF DEFINED TERMS</w:t>
            </w:r>
          </w:p>
        </w:tc>
      </w:tr>
      <w:tr>
        <w:trPr>
          <w:trHeight w:val="895"/>
        </w:trPr>
        <w:tc>
          <w:tcPr>
            <w:tcW w:w="11240" w:type="dxa"/>
            <w:vAlign w:val="bottom"/>
            <w:gridSpan w:val="2"/>
          </w:tcPr>
          <w:p>
            <w:pPr>
              <w:spacing w:after="0"/>
              <w:rPr>
                <w:sz w:val="20"/>
                <w:szCs w:val="20"/>
                <w:color w:val="auto"/>
              </w:rPr>
            </w:pPr>
            <w:r>
              <w:rPr>
                <w:rFonts w:ascii="Arial" w:cs="Arial" w:eastAsia="Arial" w:hAnsi="Arial"/>
                <w:sz w:val="18"/>
                <w:szCs w:val="18"/>
                <w:b w:val="1"/>
                <w:bCs w:val="1"/>
                <w:color w:val="auto"/>
              </w:rPr>
              <w:t>FIRST MERCHANTS CORPORATION</w:t>
            </w:r>
          </w:p>
        </w:tc>
      </w:tr>
      <w:tr>
        <w:trPr>
          <w:trHeight w:val="198"/>
        </w:trPr>
        <w:tc>
          <w:tcPr>
            <w:tcW w:w="184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tcPr>
          <w:p>
            <w:pPr>
              <w:spacing w:after="0"/>
              <w:rPr>
                <w:sz w:val="17"/>
                <w:szCs w:val="17"/>
                <w:color w:val="auto"/>
              </w:rPr>
            </w:pPr>
          </w:p>
        </w:tc>
      </w:tr>
      <w:tr>
        <w:trPr>
          <w:trHeight w:val="545"/>
        </w:trPr>
        <w:tc>
          <w:tcPr>
            <w:tcW w:w="1840" w:type="dxa"/>
            <w:vAlign w:val="bottom"/>
          </w:tcPr>
          <w:p>
            <w:pPr>
              <w:ind w:left="20"/>
              <w:spacing w:after="0"/>
              <w:rPr>
                <w:sz w:val="20"/>
                <w:szCs w:val="20"/>
                <w:color w:val="auto"/>
              </w:rPr>
            </w:pPr>
            <w:r>
              <w:rPr>
                <w:rFonts w:ascii="Arial" w:cs="Arial" w:eastAsia="Arial" w:hAnsi="Arial"/>
                <w:sz w:val="14"/>
                <w:szCs w:val="14"/>
                <w:color w:val="auto"/>
              </w:rPr>
              <w:t>2036 Notes</w:t>
            </w:r>
          </w:p>
        </w:tc>
        <w:tc>
          <w:tcPr>
            <w:tcW w:w="9400" w:type="dxa"/>
            <w:vAlign w:val="bottom"/>
          </w:tcPr>
          <w:p>
            <w:pPr>
              <w:ind w:left="620"/>
              <w:spacing w:after="0"/>
              <w:rPr>
                <w:sz w:val="20"/>
                <w:szCs w:val="20"/>
                <w:color w:val="auto"/>
              </w:rPr>
            </w:pPr>
            <w:r>
              <w:rPr>
                <w:rFonts w:ascii="Arial" w:cs="Arial" w:eastAsia="Arial" w:hAnsi="Arial"/>
                <w:sz w:val="14"/>
                <w:szCs w:val="14"/>
                <w:color w:val="auto"/>
              </w:rPr>
              <w:t>6.75% Fixed-to-Floating Rate Subordinated Notes due 2036</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ACL - Loans</w:t>
            </w:r>
          </w:p>
        </w:tc>
        <w:tc>
          <w:tcPr>
            <w:tcW w:w="9400" w:type="dxa"/>
            <w:vAlign w:val="bottom"/>
          </w:tcPr>
          <w:p>
            <w:pPr>
              <w:ind w:left="620"/>
              <w:spacing w:after="0"/>
              <w:rPr>
                <w:sz w:val="20"/>
                <w:szCs w:val="20"/>
                <w:color w:val="auto"/>
              </w:rPr>
            </w:pPr>
            <w:r>
              <w:rPr>
                <w:rFonts w:ascii="Arial" w:cs="Arial" w:eastAsia="Arial" w:hAnsi="Arial"/>
                <w:sz w:val="14"/>
                <w:szCs w:val="14"/>
                <w:color w:val="auto"/>
              </w:rPr>
              <w:t>Allowance for Credit Losses on Loans</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ASC</w:t>
            </w:r>
          </w:p>
        </w:tc>
        <w:tc>
          <w:tcPr>
            <w:tcW w:w="9400" w:type="dxa"/>
            <w:vAlign w:val="bottom"/>
          </w:tcPr>
          <w:p>
            <w:pPr>
              <w:ind w:left="620"/>
              <w:spacing w:after="0"/>
              <w:rPr>
                <w:sz w:val="20"/>
                <w:szCs w:val="20"/>
                <w:color w:val="auto"/>
              </w:rPr>
            </w:pPr>
            <w:r>
              <w:rPr>
                <w:rFonts w:ascii="Arial" w:cs="Arial" w:eastAsia="Arial" w:hAnsi="Arial"/>
                <w:sz w:val="14"/>
                <w:szCs w:val="14"/>
                <w:color w:val="auto"/>
              </w:rPr>
              <w:t>Accounting Standards Codification</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ASU</w:t>
            </w:r>
          </w:p>
        </w:tc>
        <w:tc>
          <w:tcPr>
            <w:tcW w:w="9400" w:type="dxa"/>
            <w:vAlign w:val="bottom"/>
          </w:tcPr>
          <w:p>
            <w:pPr>
              <w:ind w:left="620"/>
              <w:spacing w:after="0"/>
              <w:rPr>
                <w:sz w:val="20"/>
                <w:szCs w:val="20"/>
                <w:color w:val="auto"/>
              </w:rPr>
            </w:pPr>
            <w:r>
              <w:rPr>
                <w:rFonts w:ascii="Arial" w:cs="Arial" w:eastAsia="Arial" w:hAnsi="Arial"/>
                <w:sz w:val="14"/>
                <w:szCs w:val="14"/>
                <w:color w:val="auto"/>
              </w:rPr>
              <w:t>Accounting Standards Update</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Bank</w:t>
            </w:r>
          </w:p>
        </w:tc>
        <w:tc>
          <w:tcPr>
            <w:tcW w:w="9400" w:type="dxa"/>
            <w:vAlign w:val="bottom"/>
          </w:tcPr>
          <w:p>
            <w:pPr>
              <w:ind w:left="620"/>
              <w:spacing w:after="0"/>
              <w:rPr>
                <w:sz w:val="20"/>
                <w:szCs w:val="20"/>
                <w:color w:val="auto"/>
              </w:rPr>
            </w:pPr>
            <w:r>
              <w:rPr>
                <w:rFonts w:ascii="Arial" w:cs="Arial" w:eastAsia="Arial" w:hAnsi="Arial"/>
                <w:sz w:val="14"/>
                <w:szCs w:val="14"/>
                <w:color w:val="auto"/>
              </w:rPr>
              <w:t>First Merchants Bank, a wholly-owned subsidiary of the Corporation</w:t>
            </w:r>
          </w:p>
        </w:tc>
      </w:tr>
      <w:tr>
        <w:trPr>
          <w:trHeight w:val="161"/>
        </w:trPr>
        <w:tc>
          <w:tcPr>
            <w:tcW w:w="1840" w:type="dxa"/>
            <w:vAlign w:val="bottom"/>
          </w:tcPr>
          <w:p>
            <w:pPr>
              <w:ind w:left="20"/>
              <w:spacing w:after="0"/>
              <w:rPr>
                <w:sz w:val="20"/>
                <w:szCs w:val="20"/>
                <w:color w:val="auto"/>
              </w:rPr>
            </w:pPr>
            <w:r>
              <w:rPr>
                <w:rFonts w:ascii="Arial" w:cs="Arial" w:eastAsia="Arial" w:hAnsi="Arial"/>
                <w:sz w:val="14"/>
                <w:szCs w:val="14"/>
                <w:color w:val="auto"/>
              </w:rPr>
              <w:t>CECL</w:t>
            </w:r>
          </w:p>
        </w:tc>
        <w:tc>
          <w:tcPr>
            <w:tcW w:w="9400" w:type="dxa"/>
            <w:vAlign w:val="bottom"/>
          </w:tcPr>
          <w:p>
            <w:pPr>
              <w:ind w:left="620"/>
              <w:spacing w:after="0"/>
              <w:rPr>
                <w:sz w:val="20"/>
                <w:szCs w:val="20"/>
                <w:color w:val="auto"/>
              </w:rPr>
            </w:pPr>
            <w:r>
              <w:rPr>
                <w:rFonts w:ascii="Arial" w:cs="Arial" w:eastAsia="Arial" w:hAnsi="Arial"/>
                <w:sz w:val="14"/>
                <w:szCs w:val="14"/>
                <w:color w:val="auto"/>
              </w:rPr>
              <w:t xml:space="preserve">Current Expected Credit Losses (FASB Accounting Standards Update No. 2016-13, </w:t>
            </w:r>
            <w:r>
              <w:rPr>
                <w:rFonts w:ascii="Arial" w:cs="Arial" w:eastAsia="Arial" w:hAnsi="Arial"/>
                <w:sz w:val="14"/>
                <w:szCs w:val="14"/>
                <w:i w:val="1"/>
                <w:iCs w:val="1"/>
                <w:color w:val="auto"/>
              </w:rPr>
              <w:t>Financial Instruments - Credit Losses (Topic 326):</w:t>
            </w:r>
          </w:p>
        </w:tc>
      </w:tr>
      <w:tr>
        <w:trPr>
          <w:trHeight w:val="189"/>
        </w:trPr>
        <w:tc>
          <w:tcPr>
            <w:tcW w:w="1840" w:type="dxa"/>
            <w:vAlign w:val="bottom"/>
          </w:tcPr>
          <w:p>
            <w:pPr>
              <w:spacing w:after="0"/>
              <w:rPr>
                <w:sz w:val="16"/>
                <w:szCs w:val="16"/>
                <w:color w:val="auto"/>
              </w:rPr>
            </w:pPr>
          </w:p>
        </w:tc>
        <w:tc>
          <w:tcPr>
            <w:tcW w:w="9400" w:type="dxa"/>
            <w:vAlign w:val="bottom"/>
          </w:tcPr>
          <w:p>
            <w:pPr>
              <w:ind w:left="620"/>
              <w:spacing w:after="0"/>
              <w:rPr>
                <w:sz w:val="20"/>
                <w:szCs w:val="20"/>
                <w:color w:val="auto"/>
              </w:rPr>
            </w:pPr>
            <w:r>
              <w:rPr>
                <w:rFonts w:ascii="Arial" w:cs="Arial" w:eastAsia="Arial" w:hAnsi="Arial"/>
                <w:sz w:val="14"/>
                <w:szCs w:val="14"/>
                <w:i w:val="1"/>
                <w:iCs w:val="1"/>
                <w:color w:val="auto"/>
              </w:rPr>
              <w:t>Measurement of Credit Losses on Financial Instruments</w:t>
            </w:r>
            <w:r>
              <w:rPr>
                <w:rFonts w:ascii="Arial" w:cs="Arial" w:eastAsia="Arial" w:hAnsi="Arial"/>
                <w:sz w:val="14"/>
                <w:szCs w:val="14"/>
                <w:color w:val="auto"/>
              </w:rPr>
              <w:t>, adopted by the Corporation on January 1, 2021.)</w:t>
            </w: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CET1</w:t>
            </w:r>
          </w:p>
        </w:tc>
        <w:tc>
          <w:tcPr>
            <w:tcW w:w="9400" w:type="dxa"/>
            <w:vAlign w:val="bottom"/>
          </w:tcPr>
          <w:p>
            <w:pPr>
              <w:ind w:left="620"/>
              <w:spacing w:after="0"/>
              <w:rPr>
                <w:sz w:val="20"/>
                <w:szCs w:val="20"/>
                <w:color w:val="auto"/>
              </w:rPr>
            </w:pPr>
            <w:r>
              <w:rPr>
                <w:rFonts w:ascii="Arial" w:cs="Arial" w:eastAsia="Arial" w:hAnsi="Arial"/>
                <w:sz w:val="14"/>
                <w:szCs w:val="14"/>
                <w:color w:val="auto"/>
              </w:rPr>
              <w:t>Common Equity Tier 1</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CME Term SOFR</w:t>
            </w:r>
          </w:p>
        </w:tc>
        <w:tc>
          <w:tcPr>
            <w:tcW w:w="9400" w:type="dxa"/>
            <w:vAlign w:val="bottom"/>
          </w:tcPr>
          <w:p>
            <w:pPr>
              <w:ind w:left="620"/>
              <w:spacing w:after="0"/>
              <w:rPr>
                <w:sz w:val="20"/>
                <w:szCs w:val="20"/>
                <w:color w:val="auto"/>
              </w:rPr>
            </w:pPr>
            <w:r>
              <w:rPr>
                <w:rFonts w:ascii="Arial" w:cs="Arial" w:eastAsia="Arial" w:hAnsi="Arial"/>
                <w:sz w:val="14"/>
                <w:szCs w:val="14"/>
                <w:color w:val="auto"/>
              </w:rPr>
              <w:t>A forward-looking term Secured Overnight Financing Rate, as administered by CME Group Benchmark Administration Limited</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CODM</w:t>
            </w:r>
          </w:p>
        </w:tc>
        <w:tc>
          <w:tcPr>
            <w:tcW w:w="9400" w:type="dxa"/>
            <w:vAlign w:val="bottom"/>
          </w:tcPr>
          <w:p>
            <w:pPr>
              <w:ind w:left="620"/>
              <w:spacing w:after="0"/>
              <w:rPr>
                <w:sz w:val="20"/>
                <w:szCs w:val="20"/>
                <w:color w:val="auto"/>
              </w:rPr>
            </w:pPr>
            <w:r>
              <w:rPr>
                <w:rFonts w:ascii="Arial" w:cs="Arial" w:eastAsia="Arial" w:hAnsi="Arial"/>
                <w:sz w:val="14"/>
                <w:szCs w:val="14"/>
                <w:color w:val="auto"/>
              </w:rPr>
              <w:t>Chief operating decision maker</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Corporation</w:t>
            </w:r>
          </w:p>
        </w:tc>
        <w:tc>
          <w:tcPr>
            <w:tcW w:w="9400" w:type="dxa"/>
            <w:vAlign w:val="bottom"/>
          </w:tcPr>
          <w:p>
            <w:pPr>
              <w:ind w:left="620"/>
              <w:spacing w:after="0"/>
              <w:rPr>
                <w:sz w:val="20"/>
                <w:szCs w:val="20"/>
                <w:color w:val="auto"/>
              </w:rPr>
            </w:pPr>
            <w:r>
              <w:rPr>
                <w:rFonts w:ascii="Arial" w:cs="Arial" w:eastAsia="Arial" w:hAnsi="Arial"/>
                <w:sz w:val="14"/>
                <w:szCs w:val="14"/>
                <w:color w:val="auto"/>
              </w:rPr>
              <w:t>First Merchants Corporation</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CRA</w:t>
            </w:r>
          </w:p>
        </w:tc>
        <w:tc>
          <w:tcPr>
            <w:tcW w:w="9400" w:type="dxa"/>
            <w:vAlign w:val="bottom"/>
          </w:tcPr>
          <w:p>
            <w:pPr>
              <w:ind w:left="620"/>
              <w:spacing w:after="0"/>
              <w:rPr>
                <w:sz w:val="20"/>
                <w:szCs w:val="20"/>
                <w:color w:val="auto"/>
              </w:rPr>
            </w:pPr>
            <w:r>
              <w:rPr>
                <w:rFonts w:ascii="Arial" w:cs="Arial" w:eastAsia="Arial" w:hAnsi="Arial"/>
                <w:sz w:val="14"/>
                <w:szCs w:val="14"/>
                <w:color w:val="auto"/>
              </w:rPr>
              <w:t>Community Reinvestment Act</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Credit Agreement</w:t>
            </w:r>
          </w:p>
        </w:tc>
        <w:tc>
          <w:tcPr>
            <w:tcW w:w="9400" w:type="dxa"/>
            <w:vAlign w:val="bottom"/>
          </w:tcPr>
          <w:p>
            <w:pPr>
              <w:ind w:left="620"/>
              <w:spacing w:after="0"/>
              <w:rPr>
                <w:sz w:val="20"/>
                <w:szCs w:val="20"/>
                <w:color w:val="auto"/>
              </w:rPr>
            </w:pPr>
            <w:r>
              <w:rPr>
                <w:rFonts w:ascii="Arial" w:cs="Arial" w:eastAsia="Arial" w:hAnsi="Arial"/>
                <w:sz w:val="14"/>
                <w:szCs w:val="14"/>
                <w:color w:val="auto"/>
              </w:rPr>
              <w:t>Credit agreement entered into on September 30, 2024 with U.S. Bank, N.A.</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Credit Facility</w:t>
            </w:r>
          </w:p>
        </w:tc>
        <w:tc>
          <w:tcPr>
            <w:tcW w:w="9400" w:type="dxa"/>
            <w:vAlign w:val="bottom"/>
          </w:tcPr>
          <w:p>
            <w:pPr>
              <w:ind w:left="620"/>
              <w:spacing w:after="0"/>
              <w:rPr>
                <w:sz w:val="20"/>
                <w:szCs w:val="20"/>
                <w:color w:val="auto"/>
              </w:rPr>
            </w:pPr>
            <w:r>
              <w:rPr>
                <w:rFonts w:ascii="Arial" w:cs="Arial" w:eastAsia="Arial" w:hAnsi="Arial"/>
                <w:sz w:val="14"/>
                <w:szCs w:val="14"/>
                <w:color w:val="auto"/>
              </w:rPr>
              <w:t>Revolving line of credit related to Credit Agreement entered into on September 30, 2024</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ESPP</w:t>
            </w:r>
          </w:p>
        </w:tc>
        <w:tc>
          <w:tcPr>
            <w:tcW w:w="9400" w:type="dxa"/>
            <w:vAlign w:val="bottom"/>
          </w:tcPr>
          <w:p>
            <w:pPr>
              <w:ind w:left="620"/>
              <w:spacing w:after="0"/>
              <w:rPr>
                <w:sz w:val="20"/>
                <w:szCs w:val="20"/>
                <w:color w:val="auto"/>
              </w:rPr>
            </w:pPr>
            <w:r>
              <w:rPr>
                <w:rFonts w:ascii="Arial" w:cs="Arial" w:eastAsia="Arial" w:hAnsi="Arial"/>
                <w:sz w:val="14"/>
                <w:szCs w:val="14"/>
                <w:color w:val="auto"/>
              </w:rPr>
              <w:t>Employee Stock Purchase Plan</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Exchange Ratio</w:t>
            </w:r>
          </w:p>
        </w:tc>
        <w:tc>
          <w:tcPr>
            <w:tcW w:w="9400" w:type="dxa"/>
            <w:vAlign w:val="bottom"/>
          </w:tcPr>
          <w:p>
            <w:pPr>
              <w:ind w:left="620"/>
              <w:spacing w:after="0"/>
              <w:rPr>
                <w:sz w:val="20"/>
                <w:szCs w:val="20"/>
                <w:color w:val="auto"/>
              </w:rPr>
            </w:pPr>
            <w:r>
              <w:rPr>
                <w:rFonts w:ascii="Arial" w:cs="Arial" w:eastAsia="Arial" w:hAnsi="Arial"/>
                <w:sz w:val="14"/>
                <w:szCs w:val="14"/>
                <w:color w:val="auto"/>
              </w:rPr>
              <w:t>0.85 share of the Corporation's stock pursuant to the Merger Agreement</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FASB</w:t>
            </w:r>
          </w:p>
        </w:tc>
        <w:tc>
          <w:tcPr>
            <w:tcW w:w="9400" w:type="dxa"/>
            <w:vAlign w:val="bottom"/>
          </w:tcPr>
          <w:p>
            <w:pPr>
              <w:ind w:left="620"/>
              <w:spacing w:after="0"/>
              <w:rPr>
                <w:sz w:val="20"/>
                <w:szCs w:val="20"/>
                <w:color w:val="auto"/>
              </w:rPr>
            </w:pPr>
            <w:r>
              <w:rPr>
                <w:rFonts w:ascii="Arial" w:cs="Arial" w:eastAsia="Arial" w:hAnsi="Arial"/>
                <w:sz w:val="14"/>
                <w:szCs w:val="14"/>
                <w:color w:val="auto"/>
              </w:rPr>
              <w:t>Financial Accounting Standards Board</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FDIC</w:t>
            </w:r>
          </w:p>
        </w:tc>
        <w:tc>
          <w:tcPr>
            <w:tcW w:w="9400" w:type="dxa"/>
            <w:vAlign w:val="bottom"/>
          </w:tcPr>
          <w:p>
            <w:pPr>
              <w:ind w:left="620"/>
              <w:spacing w:after="0"/>
              <w:rPr>
                <w:sz w:val="20"/>
                <w:szCs w:val="20"/>
                <w:color w:val="auto"/>
              </w:rPr>
            </w:pPr>
            <w:r>
              <w:rPr>
                <w:rFonts w:ascii="Arial" w:cs="Arial" w:eastAsia="Arial" w:hAnsi="Arial"/>
                <w:sz w:val="14"/>
                <w:szCs w:val="14"/>
                <w:color w:val="auto"/>
              </w:rPr>
              <w:t>Federal Deposit Insurance Corporation</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Federal Reserve</w:t>
            </w:r>
          </w:p>
        </w:tc>
        <w:tc>
          <w:tcPr>
            <w:tcW w:w="9400" w:type="dxa"/>
            <w:vAlign w:val="bottom"/>
          </w:tcPr>
          <w:p>
            <w:pPr>
              <w:ind w:left="620"/>
              <w:spacing w:after="0"/>
              <w:rPr>
                <w:sz w:val="20"/>
                <w:szCs w:val="20"/>
                <w:color w:val="auto"/>
              </w:rPr>
            </w:pPr>
            <w:r>
              <w:rPr>
                <w:rFonts w:ascii="Arial" w:cs="Arial" w:eastAsia="Arial" w:hAnsi="Arial"/>
                <w:sz w:val="14"/>
                <w:szCs w:val="14"/>
                <w:color w:val="auto"/>
              </w:rPr>
              <w:t>Board of Governors of the Federal Reserve System</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FHLB</w:t>
            </w:r>
          </w:p>
        </w:tc>
        <w:tc>
          <w:tcPr>
            <w:tcW w:w="9400" w:type="dxa"/>
            <w:vAlign w:val="bottom"/>
          </w:tcPr>
          <w:p>
            <w:pPr>
              <w:ind w:left="620"/>
              <w:spacing w:after="0"/>
              <w:rPr>
                <w:sz w:val="20"/>
                <w:szCs w:val="20"/>
                <w:color w:val="auto"/>
              </w:rPr>
            </w:pPr>
            <w:r>
              <w:rPr>
                <w:rFonts w:ascii="Arial" w:cs="Arial" w:eastAsia="Arial" w:hAnsi="Arial"/>
                <w:sz w:val="14"/>
                <w:szCs w:val="14"/>
                <w:color w:val="auto"/>
              </w:rPr>
              <w:t>Federal Home Loan Bank</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First Savings</w:t>
            </w:r>
          </w:p>
        </w:tc>
        <w:tc>
          <w:tcPr>
            <w:tcW w:w="9400" w:type="dxa"/>
            <w:vAlign w:val="bottom"/>
          </w:tcPr>
          <w:p>
            <w:pPr>
              <w:ind w:left="620"/>
              <w:spacing w:after="0"/>
              <w:rPr>
                <w:sz w:val="20"/>
                <w:szCs w:val="20"/>
                <w:color w:val="auto"/>
              </w:rPr>
            </w:pPr>
            <w:r>
              <w:rPr>
                <w:rFonts w:ascii="Arial" w:cs="Arial" w:eastAsia="Arial" w:hAnsi="Arial"/>
                <w:sz w:val="14"/>
                <w:szCs w:val="14"/>
                <w:color w:val="auto"/>
              </w:rPr>
              <w:t>First Savings Financial Group, Inc.</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FMC Trust II</w:t>
            </w:r>
          </w:p>
        </w:tc>
        <w:tc>
          <w:tcPr>
            <w:tcW w:w="9400" w:type="dxa"/>
            <w:vAlign w:val="bottom"/>
          </w:tcPr>
          <w:p>
            <w:pPr>
              <w:ind w:left="620"/>
              <w:spacing w:after="0"/>
              <w:rPr>
                <w:sz w:val="20"/>
                <w:szCs w:val="20"/>
                <w:color w:val="auto"/>
              </w:rPr>
            </w:pPr>
            <w:r>
              <w:rPr>
                <w:rFonts w:ascii="Arial" w:cs="Arial" w:eastAsia="Arial" w:hAnsi="Arial"/>
                <w:sz w:val="14"/>
                <w:szCs w:val="14"/>
                <w:color w:val="auto"/>
              </w:rPr>
              <w:t>First Merchants Capital Trust II</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FTE</w:t>
            </w:r>
          </w:p>
        </w:tc>
        <w:tc>
          <w:tcPr>
            <w:tcW w:w="9400" w:type="dxa"/>
            <w:vAlign w:val="bottom"/>
          </w:tcPr>
          <w:p>
            <w:pPr>
              <w:ind w:left="620"/>
              <w:spacing w:after="0"/>
              <w:rPr>
                <w:sz w:val="20"/>
                <w:szCs w:val="20"/>
                <w:color w:val="auto"/>
              </w:rPr>
            </w:pPr>
            <w:r>
              <w:rPr>
                <w:rFonts w:ascii="Arial" w:cs="Arial" w:eastAsia="Arial" w:hAnsi="Arial"/>
                <w:sz w:val="14"/>
                <w:szCs w:val="14"/>
                <w:color w:val="auto"/>
              </w:rPr>
              <w:t>Fully taxable equivalent</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GAAP</w:t>
            </w:r>
          </w:p>
        </w:tc>
        <w:tc>
          <w:tcPr>
            <w:tcW w:w="9400" w:type="dxa"/>
            <w:vAlign w:val="bottom"/>
          </w:tcPr>
          <w:p>
            <w:pPr>
              <w:ind w:left="620"/>
              <w:spacing w:after="0"/>
              <w:rPr>
                <w:sz w:val="20"/>
                <w:szCs w:val="20"/>
                <w:color w:val="auto"/>
              </w:rPr>
            </w:pPr>
            <w:r>
              <w:rPr>
                <w:rFonts w:ascii="Arial" w:cs="Arial" w:eastAsia="Arial" w:hAnsi="Arial"/>
                <w:sz w:val="14"/>
                <w:szCs w:val="14"/>
                <w:color w:val="auto"/>
              </w:rPr>
              <w:t>U.S. Generally Accepted Accounting Principles</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IRA</w:t>
            </w:r>
          </w:p>
        </w:tc>
        <w:tc>
          <w:tcPr>
            <w:tcW w:w="9400" w:type="dxa"/>
            <w:vAlign w:val="bottom"/>
          </w:tcPr>
          <w:p>
            <w:pPr>
              <w:ind w:left="620"/>
              <w:spacing w:after="0"/>
              <w:rPr>
                <w:sz w:val="20"/>
                <w:szCs w:val="20"/>
                <w:color w:val="auto"/>
              </w:rPr>
            </w:pPr>
            <w:r>
              <w:rPr>
                <w:rFonts w:ascii="Arial" w:cs="Arial" w:eastAsia="Arial" w:hAnsi="Arial"/>
                <w:sz w:val="14"/>
                <w:szCs w:val="14"/>
                <w:color w:val="auto"/>
              </w:rPr>
              <w:t>Inflation Reduction Act of 2022</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Level One</w:t>
            </w:r>
          </w:p>
        </w:tc>
        <w:tc>
          <w:tcPr>
            <w:tcW w:w="9400" w:type="dxa"/>
            <w:vAlign w:val="bottom"/>
          </w:tcPr>
          <w:p>
            <w:pPr>
              <w:ind w:left="620"/>
              <w:spacing w:after="0"/>
              <w:rPr>
                <w:sz w:val="20"/>
                <w:szCs w:val="20"/>
                <w:color w:val="auto"/>
              </w:rPr>
            </w:pPr>
            <w:r>
              <w:rPr>
                <w:rFonts w:ascii="Arial" w:cs="Arial" w:eastAsia="Arial" w:hAnsi="Arial"/>
                <w:sz w:val="14"/>
                <w:szCs w:val="14"/>
                <w:color w:val="auto"/>
              </w:rPr>
              <w:t>Level One Bancorp, Inc., which was acquired by the Corporation on April 1, 2022</w:t>
            </w:r>
          </w:p>
        </w:tc>
      </w:tr>
      <w:tr>
        <w:trPr>
          <w:trHeight w:val="202"/>
        </w:trPr>
        <w:tc>
          <w:tcPr>
            <w:tcW w:w="1840" w:type="dxa"/>
            <w:vAlign w:val="bottom"/>
          </w:tcPr>
          <w:p>
            <w:pPr>
              <w:ind w:left="20"/>
              <w:spacing w:after="0"/>
              <w:rPr>
                <w:sz w:val="20"/>
                <w:szCs w:val="20"/>
                <w:color w:val="auto"/>
              </w:rPr>
            </w:pPr>
            <w:r>
              <w:rPr>
                <w:rFonts w:ascii="Arial" w:cs="Arial" w:eastAsia="Arial" w:hAnsi="Arial"/>
                <w:sz w:val="14"/>
                <w:szCs w:val="14"/>
                <w:color w:val="auto"/>
              </w:rPr>
              <w:t>Merger</w:t>
            </w:r>
          </w:p>
        </w:tc>
        <w:tc>
          <w:tcPr>
            <w:tcW w:w="9400" w:type="dxa"/>
            <w:vAlign w:val="bottom"/>
          </w:tcPr>
          <w:p>
            <w:pPr>
              <w:ind w:left="620"/>
              <w:spacing w:after="0"/>
              <w:rPr>
                <w:sz w:val="20"/>
                <w:szCs w:val="20"/>
                <w:color w:val="auto"/>
              </w:rPr>
            </w:pPr>
            <w:r>
              <w:rPr>
                <w:rFonts w:ascii="Arial" w:cs="Arial" w:eastAsia="Arial" w:hAnsi="Arial"/>
                <w:sz w:val="14"/>
                <w:szCs w:val="14"/>
                <w:color w:val="auto"/>
              </w:rPr>
              <w:t>The merger of First Savings with and into the Corporation pursuant to the Merger Agreement</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Merger Agreement</w:t>
            </w:r>
          </w:p>
        </w:tc>
        <w:tc>
          <w:tcPr>
            <w:tcW w:w="9400" w:type="dxa"/>
            <w:vAlign w:val="bottom"/>
          </w:tcPr>
          <w:p>
            <w:pPr>
              <w:ind w:left="620"/>
              <w:spacing w:after="0"/>
              <w:rPr>
                <w:sz w:val="20"/>
                <w:szCs w:val="20"/>
                <w:color w:val="auto"/>
              </w:rPr>
            </w:pPr>
            <w:r>
              <w:rPr>
                <w:rFonts w:ascii="Arial" w:cs="Arial" w:eastAsia="Arial" w:hAnsi="Arial"/>
                <w:sz w:val="14"/>
                <w:szCs w:val="14"/>
                <w:color w:val="auto"/>
              </w:rPr>
              <w:t>Agreement and Plan of Merger entered into on September 24, 2025 with First Savings</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PCD</w:t>
            </w:r>
          </w:p>
        </w:tc>
        <w:tc>
          <w:tcPr>
            <w:tcW w:w="9400" w:type="dxa"/>
            <w:vAlign w:val="bottom"/>
          </w:tcPr>
          <w:p>
            <w:pPr>
              <w:ind w:left="620"/>
              <w:spacing w:after="0"/>
              <w:rPr>
                <w:sz w:val="20"/>
                <w:szCs w:val="20"/>
                <w:color w:val="auto"/>
              </w:rPr>
            </w:pPr>
            <w:r>
              <w:rPr>
                <w:rFonts w:ascii="Arial" w:cs="Arial" w:eastAsia="Arial" w:hAnsi="Arial"/>
                <w:sz w:val="14"/>
                <w:szCs w:val="14"/>
                <w:color w:val="auto"/>
              </w:rPr>
              <w:t>Purchased credit-deteriorated loans</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PSL</w:t>
            </w:r>
          </w:p>
        </w:tc>
        <w:tc>
          <w:tcPr>
            <w:tcW w:w="9400" w:type="dxa"/>
            <w:vAlign w:val="bottom"/>
          </w:tcPr>
          <w:p>
            <w:pPr>
              <w:ind w:left="620"/>
              <w:spacing w:after="0"/>
              <w:rPr>
                <w:sz w:val="20"/>
                <w:szCs w:val="20"/>
                <w:color w:val="auto"/>
              </w:rPr>
            </w:pPr>
            <w:r>
              <w:rPr>
                <w:rFonts w:ascii="Arial" w:cs="Arial" w:eastAsia="Arial" w:hAnsi="Arial"/>
                <w:sz w:val="14"/>
                <w:szCs w:val="14"/>
                <w:color w:val="auto"/>
              </w:rPr>
              <w:t>Purchased seasoned loans</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RSAs</w:t>
            </w:r>
          </w:p>
        </w:tc>
        <w:tc>
          <w:tcPr>
            <w:tcW w:w="9400" w:type="dxa"/>
            <w:vAlign w:val="bottom"/>
          </w:tcPr>
          <w:p>
            <w:pPr>
              <w:ind w:left="620"/>
              <w:spacing w:after="0"/>
              <w:rPr>
                <w:sz w:val="20"/>
                <w:szCs w:val="20"/>
                <w:color w:val="auto"/>
              </w:rPr>
            </w:pPr>
            <w:r>
              <w:rPr>
                <w:rFonts w:ascii="Arial" w:cs="Arial" w:eastAsia="Arial" w:hAnsi="Arial"/>
                <w:sz w:val="14"/>
                <w:szCs w:val="14"/>
                <w:color w:val="auto"/>
              </w:rPr>
              <w:t>Restricted Stock Awards</w:t>
            </w:r>
          </w:p>
        </w:tc>
      </w:tr>
      <w:tr>
        <w:trPr>
          <w:trHeight w:val="203"/>
        </w:trPr>
        <w:tc>
          <w:tcPr>
            <w:tcW w:w="1840" w:type="dxa"/>
            <w:vAlign w:val="bottom"/>
          </w:tcPr>
          <w:p>
            <w:pPr>
              <w:ind w:left="20"/>
              <w:spacing w:after="0"/>
              <w:rPr>
                <w:sz w:val="20"/>
                <w:szCs w:val="20"/>
                <w:color w:val="auto"/>
              </w:rPr>
            </w:pPr>
            <w:r>
              <w:rPr>
                <w:rFonts w:ascii="Arial" w:cs="Arial" w:eastAsia="Arial" w:hAnsi="Arial"/>
                <w:sz w:val="14"/>
                <w:szCs w:val="14"/>
                <w:color w:val="auto"/>
              </w:rPr>
              <w:t>SBA</w:t>
            </w:r>
          </w:p>
        </w:tc>
        <w:tc>
          <w:tcPr>
            <w:tcW w:w="9400" w:type="dxa"/>
            <w:vAlign w:val="bottom"/>
          </w:tcPr>
          <w:p>
            <w:pPr>
              <w:ind w:left="620"/>
              <w:spacing w:after="0"/>
              <w:rPr>
                <w:sz w:val="20"/>
                <w:szCs w:val="20"/>
                <w:color w:val="auto"/>
              </w:rPr>
            </w:pPr>
            <w:r>
              <w:rPr>
                <w:rFonts w:ascii="Arial" w:cs="Arial" w:eastAsia="Arial" w:hAnsi="Arial"/>
                <w:sz w:val="14"/>
                <w:szCs w:val="14"/>
                <w:color w:val="auto"/>
              </w:rPr>
              <w:t>Small Business Administration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CONDENSED BALANCE SHEETS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w:t>
            </w:r>
          </w:p>
        </w:tc>
        <w:tc>
          <w:tcPr>
            <w:tcW w:w="200" w:type="dxa"/>
            <w:vAlign w:val="bottom"/>
          </w:tcPr>
          <w:p>
            <w:pPr>
              <w:spacing w:after="0"/>
              <w:rPr>
                <w:sz w:val="10"/>
                <w:szCs w:val="10"/>
                <w:color w:val="auto"/>
              </w:rPr>
            </w:pPr>
          </w:p>
        </w:tc>
        <w:tc>
          <w:tcPr>
            <w:tcW w:w="1120" w:type="dxa"/>
            <w:vAlign w:val="bottom"/>
          </w:tcPr>
          <w:p>
            <w:pPr>
              <w:jc w:val="right"/>
              <w:ind w:right="266"/>
              <w:spacing w:after="0"/>
              <w:rPr>
                <w:sz w:val="20"/>
                <w:szCs w:val="20"/>
                <w:color w:val="auto"/>
              </w:rPr>
            </w:pPr>
            <w:r>
              <w:rPr>
                <w:rFonts w:ascii="Arial" w:cs="Arial" w:eastAsia="Arial" w:hAnsi="Arial"/>
                <w:sz w:val="11"/>
                <w:szCs w:val="11"/>
                <w:b w:val="1"/>
                <w:bCs w:val="1"/>
                <w:color w:val="auto"/>
              </w:rPr>
              <w:t>December 31,</w:t>
            </w:r>
          </w:p>
        </w:tc>
      </w:tr>
      <w:tr>
        <w:trPr>
          <w:trHeight w:val="155"/>
        </w:trPr>
        <w:tc>
          <w:tcPr>
            <w:tcW w:w="8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2026</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2025</w:t>
            </w:r>
          </w:p>
        </w:tc>
      </w:tr>
      <w:tr>
        <w:trPr>
          <w:trHeight w:val="142"/>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ASSETS</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9"/>
        </w:trPr>
        <w:tc>
          <w:tcPr>
            <w:tcW w:w="84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Cash and due from banks</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86,594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84,158</w:t>
            </w:r>
          </w:p>
        </w:tc>
      </w:tr>
      <w:tr>
        <w:trPr>
          <w:trHeight w:val="142"/>
        </w:trPr>
        <w:tc>
          <w:tcPr>
            <w:tcW w:w="8480" w:type="dxa"/>
            <w:vAlign w:val="bottom"/>
          </w:tcPr>
          <w:p>
            <w:pPr>
              <w:ind w:left="360"/>
              <w:spacing w:after="0"/>
              <w:rPr>
                <w:sz w:val="20"/>
                <w:szCs w:val="20"/>
                <w:color w:val="auto"/>
              </w:rPr>
            </w:pPr>
            <w:r>
              <w:rPr>
                <w:rFonts w:ascii="Arial" w:cs="Arial" w:eastAsia="Arial" w:hAnsi="Arial"/>
                <w:sz w:val="11"/>
                <w:szCs w:val="11"/>
                <w:color w:val="auto"/>
              </w:rPr>
              <w:t>Interest-bearing deposits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262,503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196,300</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Investment securities available for sale</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1,251,540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1,407,102</w:t>
            </w:r>
          </w:p>
        </w:tc>
      </w:tr>
      <w:tr>
        <w:trPr>
          <w:trHeight w:val="152"/>
        </w:trPr>
        <w:tc>
          <w:tcPr>
            <w:tcW w:w="8480" w:type="dxa"/>
            <w:vAlign w:val="bottom"/>
          </w:tcPr>
          <w:p>
            <w:pPr>
              <w:ind w:left="360"/>
              <w:spacing w:after="0"/>
              <w:rPr>
                <w:sz w:val="20"/>
                <w:szCs w:val="20"/>
                <w:color w:val="auto"/>
              </w:rPr>
            </w:pPr>
            <w:r>
              <w:rPr>
                <w:rFonts w:ascii="Arial" w:cs="Arial" w:eastAsia="Arial" w:hAnsi="Arial"/>
                <w:sz w:val="11"/>
                <w:szCs w:val="11"/>
                <w:color w:val="auto"/>
              </w:rPr>
              <w:t>Investment securities held to maturity, net of allowance for credit losses of $245 and $245 (fair value of $1,495,477 and $1,718,287)</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1,872,951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1,971,539</w:t>
            </w:r>
          </w:p>
        </w:tc>
      </w:tr>
      <w:tr>
        <w:trPr>
          <w:trHeight w:val="152"/>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Loans held for sale</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87,300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20,079</w:t>
            </w:r>
          </w:p>
        </w:tc>
      </w:tr>
      <w:tr>
        <w:trPr>
          <w:trHeight w:val="142"/>
        </w:trPr>
        <w:tc>
          <w:tcPr>
            <w:tcW w:w="8480" w:type="dxa"/>
            <w:vAlign w:val="bottom"/>
          </w:tcPr>
          <w:p>
            <w:pPr>
              <w:ind w:left="360"/>
              <w:spacing w:after="0"/>
              <w:rPr>
                <w:sz w:val="20"/>
                <w:szCs w:val="20"/>
                <w:color w:val="auto"/>
              </w:rPr>
            </w:pPr>
            <w:r>
              <w:rPr>
                <w:rFonts w:ascii="Arial" w:cs="Arial" w:eastAsia="Arial" w:hAnsi="Arial"/>
                <w:sz w:val="11"/>
                <w:szCs w:val="11"/>
                <w:color w:val="auto"/>
              </w:rPr>
              <w:t>Loans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15,600,974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13,791,707</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2"/>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Less: Allowance for credit losses - loans</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(215,526)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(195,597)</w:t>
            </w:r>
          </w:p>
        </w:tc>
      </w:tr>
      <w:tr>
        <w:trPr>
          <w:trHeight w:val="135"/>
        </w:trPr>
        <w:tc>
          <w:tcPr>
            <w:tcW w:w="8480" w:type="dxa"/>
            <w:vAlign w:val="bottom"/>
          </w:tcPr>
          <w:p>
            <w:pPr>
              <w:ind w:left="1000"/>
              <w:spacing w:after="0"/>
              <w:rPr>
                <w:sz w:val="20"/>
                <w:szCs w:val="20"/>
                <w:color w:val="auto"/>
              </w:rPr>
            </w:pPr>
            <w:r>
              <w:rPr>
                <w:rFonts w:ascii="Arial" w:cs="Arial" w:eastAsia="Arial" w:hAnsi="Arial"/>
                <w:sz w:val="11"/>
                <w:szCs w:val="11"/>
                <w:color w:val="auto"/>
              </w:rPr>
              <w:t>Net loans</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15,385,448</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13,596,110</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Premises and equipment</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145,030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121,058</w:t>
            </w:r>
          </w:p>
        </w:tc>
      </w:tr>
      <w:tr>
        <w:trPr>
          <w:trHeight w:val="142"/>
        </w:trPr>
        <w:tc>
          <w:tcPr>
            <w:tcW w:w="8480" w:type="dxa"/>
            <w:vAlign w:val="bottom"/>
          </w:tcPr>
          <w:p>
            <w:pPr>
              <w:ind w:left="360"/>
              <w:spacing w:after="0"/>
              <w:rPr>
                <w:sz w:val="20"/>
                <w:szCs w:val="20"/>
                <w:color w:val="auto"/>
              </w:rPr>
            </w:pPr>
            <w:r>
              <w:rPr>
                <w:rFonts w:ascii="Arial" w:cs="Arial" w:eastAsia="Arial" w:hAnsi="Arial"/>
                <w:sz w:val="11"/>
                <w:szCs w:val="11"/>
                <w:color w:val="auto"/>
              </w:rPr>
              <w:t>Federal Home Loan Bank stock</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70,794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47,245</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2"/>
        </w:trPr>
        <w:tc>
          <w:tcPr>
            <w:tcW w:w="84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Interest receivable</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99,280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93,374</w:t>
            </w:r>
          </w:p>
        </w:tc>
      </w:tr>
      <w:tr>
        <w:trPr>
          <w:trHeight w:val="142"/>
        </w:trPr>
        <w:tc>
          <w:tcPr>
            <w:tcW w:w="8480" w:type="dxa"/>
            <w:vAlign w:val="bottom"/>
          </w:tcPr>
          <w:p>
            <w:pPr>
              <w:ind w:left="360"/>
              <w:spacing w:after="0"/>
              <w:rPr>
                <w:sz w:val="20"/>
                <w:szCs w:val="20"/>
                <w:color w:val="auto"/>
              </w:rPr>
            </w:pPr>
            <w:r>
              <w:rPr>
                <w:rFonts w:ascii="Arial" w:cs="Arial" w:eastAsia="Arial" w:hAnsi="Arial"/>
                <w:sz w:val="11"/>
                <w:szCs w:val="11"/>
                <w:color w:val="auto"/>
              </w:rPr>
              <w:t>Goodwill</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788,186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712,002</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Other intangibles</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36,320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13,800</w:t>
            </w:r>
          </w:p>
        </w:tc>
      </w:tr>
      <w:tr>
        <w:trPr>
          <w:trHeight w:val="142"/>
        </w:trPr>
        <w:tc>
          <w:tcPr>
            <w:tcW w:w="8480" w:type="dxa"/>
            <w:vAlign w:val="bottom"/>
          </w:tcPr>
          <w:p>
            <w:pPr>
              <w:ind w:left="360"/>
              <w:spacing w:after="0"/>
              <w:rPr>
                <w:sz w:val="20"/>
                <w:szCs w:val="20"/>
                <w:color w:val="auto"/>
              </w:rPr>
            </w:pPr>
            <w:r>
              <w:rPr>
                <w:rFonts w:ascii="Arial" w:cs="Arial" w:eastAsia="Arial" w:hAnsi="Arial"/>
                <w:sz w:val="11"/>
                <w:szCs w:val="11"/>
                <w:color w:val="auto"/>
              </w:rPr>
              <w:t>Cash surrender value of life insurance</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374,974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308,438</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Other real estate owned</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1,605</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658</w:t>
            </w:r>
          </w:p>
        </w:tc>
      </w:tr>
      <w:tr>
        <w:trPr>
          <w:trHeight w:val="152"/>
        </w:trPr>
        <w:tc>
          <w:tcPr>
            <w:tcW w:w="8480" w:type="dxa"/>
            <w:vAlign w:val="bottom"/>
          </w:tcPr>
          <w:p>
            <w:pPr>
              <w:ind w:left="360"/>
              <w:spacing w:after="0"/>
              <w:rPr>
                <w:sz w:val="20"/>
                <w:szCs w:val="20"/>
                <w:color w:val="auto"/>
              </w:rPr>
            </w:pPr>
            <w:r>
              <w:rPr>
                <w:rFonts w:ascii="Arial" w:cs="Arial" w:eastAsia="Arial" w:hAnsi="Arial"/>
                <w:sz w:val="11"/>
                <w:szCs w:val="11"/>
                <w:color w:val="auto"/>
              </w:rPr>
              <w:t>Tax asset, deferred and receivable</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136,258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78,664</w:t>
            </w:r>
          </w:p>
        </w:tc>
      </w:tr>
      <w:tr>
        <w:trPr>
          <w:trHeight w:val="165"/>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Other assets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457,939</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374,574</w:t>
            </w:r>
          </w:p>
        </w:tc>
      </w:tr>
      <w:tr>
        <w:trPr>
          <w:trHeight w:val="162"/>
        </w:trPr>
        <w:tc>
          <w:tcPr>
            <w:tcW w:w="8480" w:type="dxa"/>
            <w:vAlign w:val="bottom"/>
          </w:tcPr>
          <w:p>
            <w:pPr>
              <w:ind w:left="800"/>
              <w:spacing w:after="0"/>
              <w:rPr>
                <w:sz w:val="20"/>
                <w:szCs w:val="20"/>
                <w:color w:val="auto"/>
              </w:rPr>
            </w:pPr>
            <w:r>
              <w:rPr>
                <w:rFonts w:ascii="Arial" w:cs="Arial" w:eastAsia="Arial" w:hAnsi="Arial"/>
                <w:sz w:val="11"/>
                <w:szCs w:val="11"/>
                <w:b w:val="1"/>
                <w:bCs w:val="1"/>
                <w:color w:val="auto"/>
              </w:rPr>
              <w:t>TOTAL ASSETS</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21,056,722</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19,025,101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84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w:t>
            </w: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2"/>
        </w:trPr>
        <w:tc>
          <w:tcPr>
            <w:tcW w:w="8480" w:type="dxa"/>
            <w:vAlign w:val="bottom"/>
          </w:tcPr>
          <w:p>
            <w:pPr>
              <w:ind w:left="360"/>
              <w:spacing w:after="0"/>
              <w:rPr>
                <w:sz w:val="20"/>
                <w:szCs w:val="20"/>
                <w:color w:val="auto"/>
              </w:rPr>
            </w:pPr>
            <w:r>
              <w:rPr>
                <w:rFonts w:ascii="Arial" w:cs="Arial" w:eastAsia="Arial" w:hAnsi="Arial"/>
                <w:sz w:val="11"/>
                <w:szCs w:val="11"/>
                <w:color w:val="auto"/>
              </w:rPr>
              <w:t>Deposits: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2"/>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Noninterest-bearing</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3,752,990</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2,137,262</w:t>
            </w:r>
          </w:p>
        </w:tc>
      </w:tr>
      <w:tr>
        <w:trPr>
          <w:trHeight w:val="155"/>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1"/>
                <w:szCs w:val="11"/>
                <w:color w:val="auto"/>
              </w:rPr>
              <w:t>Interest-bearing</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13,175,942</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13,157,593</w:t>
            </w:r>
          </w:p>
        </w:tc>
      </w:tr>
      <w:tr>
        <w:trPr>
          <w:trHeight w:val="162"/>
        </w:trPr>
        <w:tc>
          <w:tcPr>
            <w:tcW w:w="8480" w:type="dxa"/>
            <w:vAlign w:val="bottom"/>
            <w:shd w:val="clear" w:color="auto" w:fill="CCEEFF"/>
          </w:tcPr>
          <w:p>
            <w:pPr>
              <w:ind w:left="800"/>
              <w:spacing w:after="0"/>
              <w:rPr>
                <w:sz w:val="20"/>
                <w:szCs w:val="20"/>
                <w:color w:val="auto"/>
              </w:rPr>
            </w:pPr>
            <w:r>
              <w:rPr>
                <w:rFonts w:ascii="Arial" w:cs="Arial" w:eastAsia="Arial" w:hAnsi="Arial"/>
                <w:sz w:val="11"/>
                <w:szCs w:val="11"/>
                <w:b w:val="1"/>
                <w:bCs w:val="1"/>
                <w:color w:val="auto"/>
              </w:rPr>
              <w:t>Total Deposits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16,928,932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15,294,855</w:t>
            </w:r>
          </w:p>
        </w:tc>
      </w:tr>
      <w:tr>
        <w:trPr>
          <w:trHeight w:val="152"/>
        </w:trPr>
        <w:tc>
          <w:tcPr>
            <w:tcW w:w="8480" w:type="dxa"/>
            <w:vAlign w:val="bottom"/>
          </w:tcPr>
          <w:p>
            <w:pPr>
              <w:ind w:left="360"/>
              <w:spacing w:after="0"/>
              <w:rPr>
                <w:sz w:val="20"/>
                <w:szCs w:val="20"/>
                <w:color w:val="auto"/>
              </w:rPr>
            </w:pPr>
            <w:r>
              <w:rPr>
                <w:rFonts w:ascii="Arial" w:cs="Arial" w:eastAsia="Arial" w:hAnsi="Arial"/>
                <w:sz w:val="11"/>
                <w:szCs w:val="11"/>
                <w:color w:val="auto"/>
              </w:rPr>
              <w:t>Borrowings: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8480" w:type="dxa"/>
            <w:vAlign w:val="bottom"/>
            <w:shd w:val="clear" w:color="auto" w:fill="CCEEFF"/>
          </w:tcPr>
          <w:p>
            <w:pPr>
              <w:ind w:left="680"/>
              <w:spacing w:after="0"/>
              <w:rPr>
                <w:sz w:val="20"/>
                <w:szCs w:val="20"/>
                <w:color w:val="auto"/>
              </w:rPr>
            </w:pPr>
            <w:r>
              <w:rPr>
                <w:rFonts w:ascii="Arial" w:cs="Arial" w:eastAsia="Arial" w:hAnsi="Arial"/>
                <w:sz w:val="11"/>
                <w:szCs w:val="11"/>
                <w:color w:val="auto"/>
              </w:rPr>
              <w:t>Federal funds purchased</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40,000</w:t>
            </w:r>
          </w:p>
        </w:tc>
      </w:tr>
      <w:tr>
        <w:trPr>
          <w:trHeight w:val="142"/>
        </w:trPr>
        <w:tc>
          <w:tcPr>
            <w:tcW w:w="8480" w:type="dxa"/>
            <w:vAlign w:val="bottom"/>
          </w:tcPr>
          <w:p>
            <w:pPr>
              <w:ind w:left="680"/>
              <w:spacing w:after="0"/>
              <w:rPr>
                <w:sz w:val="20"/>
                <w:szCs w:val="20"/>
                <w:color w:val="auto"/>
              </w:rPr>
            </w:pPr>
            <w:r>
              <w:rPr>
                <w:rFonts w:ascii="Arial" w:cs="Arial" w:eastAsia="Arial" w:hAnsi="Arial"/>
                <w:sz w:val="11"/>
                <w:szCs w:val="11"/>
                <w:color w:val="auto"/>
              </w:rPr>
              <w:t>Securities sold under repurchase agreements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99,638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103,755</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Federal Home Loan Bank advances</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903,941</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798,549</w:t>
            </w:r>
          </w:p>
        </w:tc>
      </w:tr>
      <w:tr>
        <w:trPr>
          <w:trHeight w:val="155"/>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1"/>
                <w:szCs w:val="11"/>
                <w:color w:val="auto"/>
              </w:rPr>
              <w:t>Subordinated notes, debentures and other borrowings</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184,505</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57,630</w:t>
            </w:r>
          </w:p>
        </w:tc>
      </w:tr>
      <w:tr>
        <w:trPr>
          <w:trHeight w:val="162"/>
        </w:trPr>
        <w:tc>
          <w:tcPr>
            <w:tcW w:w="8480" w:type="dxa"/>
            <w:vAlign w:val="bottom"/>
            <w:shd w:val="clear" w:color="auto" w:fill="CCEEFF"/>
          </w:tcPr>
          <w:p>
            <w:pPr>
              <w:ind w:left="800"/>
              <w:spacing w:after="0"/>
              <w:rPr>
                <w:sz w:val="20"/>
                <w:szCs w:val="20"/>
                <w:color w:val="auto"/>
              </w:rPr>
            </w:pPr>
            <w:r>
              <w:rPr>
                <w:rFonts w:ascii="Arial" w:cs="Arial" w:eastAsia="Arial" w:hAnsi="Arial"/>
                <w:sz w:val="11"/>
                <w:szCs w:val="11"/>
                <w:b w:val="1"/>
                <w:bCs w:val="1"/>
                <w:color w:val="auto"/>
              </w:rPr>
              <w:t>Total Borrowings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1,188,084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999,934</w:t>
            </w:r>
          </w:p>
        </w:tc>
      </w:tr>
      <w:tr>
        <w:trPr>
          <w:trHeight w:val="152"/>
        </w:trPr>
        <w:tc>
          <w:tcPr>
            <w:tcW w:w="8480" w:type="dxa"/>
            <w:vAlign w:val="bottom"/>
          </w:tcPr>
          <w:p>
            <w:pPr>
              <w:ind w:left="360"/>
              <w:spacing w:after="0"/>
              <w:rPr>
                <w:sz w:val="20"/>
                <w:szCs w:val="20"/>
                <w:color w:val="auto"/>
              </w:rPr>
            </w:pPr>
            <w:r>
              <w:rPr>
                <w:rFonts w:ascii="Arial" w:cs="Arial" w:eastAsia="Arial" w:hAnsi="Arial"/>
                <w:sz w:val="11"/>
                <w:szCs w:val="11"/>
                <w:color w:val="auto"/>
              </w:rPr>
              <w:t>Interest payable</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17,095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18,235</w:t>
            </w:r>
          </w:p>
        </w:tc>
      </w:tr>
      <w:tr>
        <w:trPr>
          <w:trHeight w:val="172"/>
        </w:trPr>
        <w:tc>
          <w:tcPr>
            <w:tcW w:w="84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Other liabilities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286,230</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245,410</w:t>
            </w:r>
          </w:p>
        </w:tc>
      </w:tr>
      <w:tr>
        <w:trPr>
          <w:trHeight w:val="148"/>
        </w:trPr>
        <w:tc>
          <w:tcPr>
            <w:tcW w:w="8480" w:type="dxa"/>
            <w:vAlign w:val="bottom"/>
          </w:tcPr>
          <w:p>
            <w:pPr>
              <w:ind w:left="800"/>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18,420,341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16,558,434</w:t>
            </w:r>
          </w:p>
        </w:tc>
      </w:tr>
      <w:tr>
        <w:trPr>
          <w:trHeight w:val="169"/>
        </w:trPr>
        <w:tc>
          <w:tcPr>
            <w:tcW w:w="84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COMMITMENTS AND CONTINGENT LIABILITIES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5"/>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9"/>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Cumulative Preferred Stock, $1,000 par value, $1,000 liquidation value:</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52"/>
        </w:trPr>
        <w:tc>
          <w:tcPr>
            <w:tcW w:w="8480" w:type="dxa"/>
            <w:vAlign w:val="bottom"/>
          </w:tcPr>
          <w:p>
            <w:pPr>
              <w:ind w:left="680"/>
              <w:spacing w:after="0"/>
              <w:rPr>
                <w:sz w:val="20"/>
                <w:szCs w:val="20"/>
                <w:color w:val="auto"/>
              </w:rPr>
            </w:pPr>
            <w:r>
              <w:rPr>
                <w:rFonts w:ascii="Arial" w:cs="Arial" w:eastAsia="Arial" w:hAnsi="Arial"/>
                <w:sz w:val="11"/>
                <w:szCs w:val="11"/>
                <w:color w:val="auto"/>
              </w:rPr>
              <w:t>Authorized - 600 cumulative shares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8480" w:type="dxa"/>
            <w:vAlign w:val="bottom"/>
            <w:shd w:val="clear" w:color="auto" w:fill="CCEEFF"/>
          </w:tcPr>
          <w:p>
            <w:pPr>
              <w:ind w:left="680"/>
              <w:spacing w:after="0"/>
              <w:rPr>
                <w:sz w:val="20"/>
                <w:szCs w:val="20"/>
                <w:color w:val="auto"/>
              </w:rPr>
            </w:pPr>
            <w:r>
              <w:rPr>
                <w:rFonts w:ascii="Arial" w:cs="Arial" w:eastAsia="Arial" w:hAnsi="Arial"/>
                <w:sz w:val="11"/>
                <w:szCs w:val="11"/>
                <w:color w:val="auto"/>
              </w:rPr>
              <w:t>Issued and outstanding - 125 cumulative shares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r>
      <w:tr>
        <w:trPr>
          <w:trHeight w:val="142"/>
        </w:trPr>
        <w:tc>
          <w:tcPr>
            <w:tcW w:w="8480" w:type="dxa"/>
            <w:vAlign w:val="bottom"/>
          </w:tcPr>
          <w:p>
            <w:pPr>
              <w:ind w:left="360"/>
              <w:spacing w:after="0"/>
              <w:rPr>
                <w:sz w:val="20"/>
                <w:szCs w:val="20"/>
                <w:color w:val="auto"/>
              </w:rPr>
            </w:pPr>
            <w:r>
              <w:rPr>
                <w:rFonts w:ascii="Arial" w:cs="Arial" w:eastAsia="Arial" w:hAnsi="Arial"/>
                <w:sz w:val="11"/>
                <w:szCs w:val="11"/>
                <w:color w:val="auto"/>
              </w:rPr>
              <w:t>Preferred Stock, Series A, no par value, $2,500 liquidation preference:</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Authorized - 10,000 non-cumulative perpetual shares</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52"/>
        </w:trPr>
        <w:tc>
          <w:tcPr>
            <w:tcW w:w="8480" w:type="dxa"/>
            <w:vAlign w:val="bottom"/>
          </w:tcPr>
          <w:p>
            <w:pPr>
              <w:ind w:left="680"/>
              <w:spacing w:after="0"/>
              <w:rPr>
                <w:sz w:val="20"/>
                <w:szCs w:val="20"/>
                <w:color w:val="auto"/>
              </w:rPr>
            </w:pPr>
            <w:r>
              <w:rPr>
                <w:rFonts w:ascii="Arial" w:cs="Arial" w:eastAsia="Arial" w:hAnsi="Arial"/>
                <w:sz w:val="11"/>
                <w:szCs w:val="11"/>
                <w:color w:val="auto"/>
              </w:rPr>
              <w:t>Issued and outstanding - 10,000 non-cumulative perpetual shares</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25,000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25,000</w:t>
            </w:r>
          </w:p>
        </w:tc>
      </w:tr>
      <w:tr>
        <w:trPr>
          <w:trHeight w:val="172"/>
        </w:trPr>
        <w:tc>
          <w:tcPr>
            <w:tcW w:w="84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Common Stock, $0.125 stated value:</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42"/>
        </w:trPr>
        <w:tc>
          <w:tcPr>
            <w:tcW w:w="8480" w:type="dxa"/>
            <w:vAlign w:val="bottom"/>
          </w:tcPr>
          <w:p>
            <w:pPr>
              <w:ind w:left="680"/>
              <w:spacing w:after="0"/>
              <w:rPr>
                <w:sz w:val="20"/>
                <w:szCs w:val="20"/>
                <w:color w:val="auto"/>
              </w:rPr>
            </w:pPr>
            <w:r>
              <w:rPr>
                <w:rFonts w:ascii="Arial" w:cs="Arial" w:eastAsia="Arial" w:hAnsi="Arial"/>
                <w:sz w:val="11"/>
                <w:szCs w:val="11"/>
                <w:color w:val="auto"/>
              </w:rPr>
              <w:t>Authorized - 100,000,000 shares</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Issued and outstanding - 62,210,134 and 56,951,939 shares</w:t>
            </w: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7,754</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7,119</w:t>
            </w:r>
          </w:p>
        </w:tc>
      </w:tr>
      <w:tr>
        <w:trPr>
          <w:trHeight w:val="142"/>
        </w:trPr>
        <w:tc>
          <w:tcPr>
            <w:tcW w:w="8480" w:type="dxa"/>
            <w:vAlign w:val="bottom"/>
          </w:tcPr>
          <w:p>
            <w:pPr>
              <w:ind w:left="360"/>
              <w:spacing w:after="0"/>
              <w:rPr>
                <w:sz w:val="20"/>
                <w:szCs w:val="20"/>
                <w:color w:val="auto"/>
              </w:rPr>
            </w:pPr>
            <w:r>
              <w:rPr>
                <w:rFonts w:ascii="Arial" w:cs="Arial" w:eastAsia="Arial" w:hAnsi="Arial"/>
                <w:sz w:val="11"/>
                <w:szCs w:val="11"/>
                <w:color w:val="auto"/>
              </w:rPr>
              <w:t>Additional paid-in capital</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1,347,943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1,150,816</w:t>
            </w: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2"/>
        </w:trPr>
        <w:tc>
          <w:tcPr>
            <w:tcW w:w="84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Retained earnings</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1,483,496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1,413,742</w:t>
            </w:r>
          </w:p>
        </w:tc>
      </w:tr>
      <w:tr>
        <w:trPr>
          <w:trHeight w:val="155"/>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Accumulated other comprehensive loss</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(227,937)</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(130,135)</w:t>
            </w:r>
          </w:p>
        </w:tc>
      </w:tr>
      <w:tr>
        <w:trPr>
          <w:trHeight w:val="156"/>
        </w:trPr>
        <w:tc>
          <w:tcPr>
            <w:tcW w:w="8480" w:type="dxa"/>
            <w:vAlign w:val="bottom"/>
            <w:shd w:val="clear" w:color="auto" w:fill="CCEEFF"/>
          </w:tcPr>
          <w:p>
            <w:pPr>
              <w:ind w:left="800"/>
              <w:spacing w:after="0"/>
              <w:rPr>
                <w:sz w:val="20"/>
                <w:szCs w:val="20"/>
                <w:color w:val="auto"/>
              </w:rPr>
            </w:pPr>
            <w:r>
              <w:rPr>
                <w:rFonts w:ascii="Arial" w:cs="Arial" w:eastAsia="Arial" w:hAnsi="Arial"/>
                <w:sz w:val="11"/>
                <w:szCs w:val="11"/>
                <w:b w:val="1"/>
                <w:bCs w:val="1"/>
                <w:color w:val="auto"/>
              </w:rPr>
              <w:t>Total Stockholders' Equity</w:t>
            </w: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2,636,381</w:t>
            </w: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2,466,667</w:t>
            </w:r>
          </w:p>
        </w:tc>
      </w:tr>
      <w:tr>
        <w:trPr>
          <w:trHeight w:val="162"/>
        </w:trPr>
        <w:tc>
          <w:tcPr>
            <w:tcW w:w="8480" w:type="dxa"/>
            <w:vAlign w:val="bottom"/>
          </w:tcPr>
          <w:p>
            <w:pPr>
              <w:ind w:left="800"/>
              <w:spacing w:after="0"/>
              <w:rPr>
                <w:sz w:val="20"/>
                <w:szCs w:val="20"/>
                <w:color w:val="auto"/>
              </w:rPr>
            </w:pPr>
            <w:r>
              <w:rPr>
                <w:rFonts w:ascii="Arial" w:cs="Arial" w:eastAsia="Arial" w:hAnsi="Arial"/>
                <w:sz w:val="11"/>
                <w:szCs w:val="11"/>
                <w:b w:val="1"/>
                <w:bCs w:val="1"/>
                <w:color w:val="auto"/>
              </w:rPr>
              <w:t>TOTAL LIABILITIES AND STOCKHOLDERS' EQUITY</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21,056,722</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19,025,101</w:t>
            </w:r>
          </w:p>
        </w:tc>
      </w:tr>
      <w:tr>
        <w:trPr>
          <w:trHeight w:val="21"/>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See NOTES TO CONSOLIDATED CONDENSED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CONDENSED STATEMENTS OF INCOME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40" w:type="dxa"/>
            <w:vAlign w:val="bottom"/>
          </w:tcPr>
          <w:p>
            <w:pPr>
              <w:spacing w:after="0"/>
              <w:rPr>
                <w:sz w:val="12"/>
                <w:szCs w:val="12"/>
                <w:color w:val="auto"/>
              </w:rPr>
            </w:pPr>
          </w:p>
        </w:tc>
        <w:tc>
          <w:tcPr>
            <w:tcW w:w="260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rPr>
              <w:t>Three Months Ended September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0" w:type="dxa"/>
            <w:vAlign w:val="bottom"/>
            <w:gridSpan w:val="4"/>
          </w:tcPr>
          <w:p>
            <w:pPr>
              <w:jc w:val="right"/>
              <w:ind w:right="646"/>
              <w:spacing w:after="0"/>
              <w:rPr>
                <w:sz w:val="20"/>
                <w:szCs w:val="20"/>
                <w:color w:val="auto"/>
              </w:rPr>
            </w:pPr>
            <w:r>
              <w:rPr>
                <w:rFonts w:ascii="Arial" w:cs="Arial" w:eastAsia="Arial" w:hAnsi="Arial"/>
                <w:sz w:val="11"/>
                <w:szCs w:val="11"/>
                <w:b w:val="1"/>
                <w:bCs w:val="1"/>
                <w:color w:val="auto"/>
              </w:rPr>
              <w:t>Nine Months Ended September 30,</w:t>
            </w:r>
          </w:p>
        </w:tc>
      </w:tr>
      <w:tr>
        <w:trPr>
          <w:trHeight w:val="169"/>
        </w:trPr>
        <w:tc>
          <w:tcPr>
            <w:tcW w:w="48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2026</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2025</w:t>
            </w:r>
          </w:p>
        </w:tc>
      </w:tr>
      <w:tr>
        <w:trPr>
          <w:trHeight w:val="148"/>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INTEREST INCOME</w:t>
            </w: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Loans:</w:t>
            </w: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2"/>
        </w:trPr>
        <w:tc>
          <w:tcPr>
            <w:tcW w:w="4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Taxable</w:t>
            </w:r>
          </w:p>
        </w:tc>
        <w:tc>
          <w:tcPr>
            <w:tcW w:w="980" w:type="dxa"/>
            <w:vAlign w:val="bottom"/>
            <w:tcBorders>
              <w:bottom w:val="single" w:sz="8" w:color="CCEEFF"/>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230,072</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200,406</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670,230</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583,307</w:t>
            </w:r>
          </w:p>
        </w:tc>
      </w:tr>
      <w:tr>
        <w:trPr>
          <w:trHeight w:val="142"/>
        </w:trPr>
        <w:tc>
          <w:tcPr>
            <w:tcW w:w="4840" w:type="dxa"/>
            <w:vAlign w:val="bottom"/>
          </w:tcPr>
          <w:p>
            <w:pPr>
              <w:ind w:left="680"/>
              <w:spacing w:after="0"/>
              <w:rPr>
                <w:sz w:val="20"/>
                <w:szCs w:val="20"/>
                <w:color w:val="auto"/>
              </w:rPr>
            </w:pPr>
            <w:r>
              <w:rPr>
                <w:rFonts w:ascii="Arial" w:cs="Arial" w:eastAsia="Arial" w:hAnsi="Arial"/>
                <w:sz w:val="11"/>
                <w:szCs w:val="11"/>
                <w:color w:val="auto"/>
              </w:rPr>
              <w:t>Tax exempt</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11,379</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11,173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34,791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32,510</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Investment securities:</w:t>
            </w: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r>
      <w:tr>
        <w:trPr>
          <w:trHeight w:val="152"/>
        </w:trPr>
        <w:tc>
          <w:tcPr>
            <w:tcW w:w="4840" w:type="dxa"/>
            <w:vAlign w:val="bottom"/>
          </w:tcPr>
          <w:p>
            <w:pPr>
              <w:ind w:left="680"/>
              <w:spacing w:after="0"/>
              <w:rPr>
                <w:sz w:val="20"/>
                <w:szCs w:val="20"/>
                <w:color w:val="auto"/>
              </w:rPr>
            </w:pPr>
            <w:r>
              <w:rPr>
                <w:rFonts w:ascii="Arial" w:cs="Arial" w:eastAsia="Arial" w:hAnsi="Arial"/>
                <w:sz w:val="11"/>
                <w:szCs w:val="11"/>
                <w:color w:val="auto"/>
              </w:rPr>
              <w:t>Taxable</w:t>
            </w: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7,331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8,288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22,233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24,926</w:t>
            </w:r>
          </w:p>
        </w:tc>
      </w:tr>
      <w:tr>
        <w:trPr>
          <w:trHeight w:val="152"/>
        </w:trPr>
        <w:tc>
          <w:tcPr>
            <w:tcW w:w="4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Tax exempt</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12,279</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12,460</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37,334</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37,493</w:t>
            </w: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Deposits with financial institutions</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1,308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1,676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3,699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5,940</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2"/>
        </w:trPr>
        <w:tc>
          <w:tcPr>
            <w:tcW w:w="48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Federal Home Loan Bank stock</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1,578</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1,092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5,068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3,172</w:t>
            </w:r>
          </w:p>
        </w:tc>
      </w:tr>
      <w:tr>
        <w:trPr>
          <w:trHeight w:val="149"/>
        </w:trPr>
        <w:tc>
          <w:tcPr>
            <w:tcW w:w="4840" w:type="dxa"/>
            <w:vAlign w:val="bottom"/>
          </w:tcPr>
          <w:p>
            <w:pPr>
              <w:ind w:left="800"/>
              <w:spacing w:after="0"/>
              <w:rPr>
                <w:sz w:val="20"/>
                <w:szCs w:val="20"/>
                <w:color w:val="auto"/>
              </w:rPr>
            </w:pPr>
            <w:r>
              <w:rPr>
                <w:rFonts w:ascii="Arial" w:cs="Arial" w:eastAsia="Arial" w:hAnsi="Arial"/>
                <w:sz w:val="11"/>
                <w:szCs w:val="11"/>
                <w:b w:val="1"/>
                <w:bCs w:val="1"/>
                <w:color w:val="auto"/>
              </w:rPr>
              <w:t>Total Interest Income</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263,947</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235,095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773,355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687,348</w:t>
            </w:r>
          </w:p>
        </w:tc>
      </w:tr>
      <w:tr>
        <w:trPr>
          <w:trHeight w:val="169"/>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INTEREST EXPENSE</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Deposits</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91,313</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90,821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261,660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255,609</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Federal funds purchased</w:t>
            </w: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225</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224</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1,532</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2,001</w:t>
            </w: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Securities sold under repurchase agreements</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378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1,129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2,059</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Federal Home Loan Bank advances</w:t>
            </w: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9,537</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8,638</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33,775</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27,716</w:t>
            </w:r>
          </w:p>
        </w:tc>
      </w:tr>
      <w:tr>
        <w:trPr>
          <w:trHeight w:val="156"/>
        </w:trPr>
        <w:tc>
          <w:tcPr>
            <w:tcW w:w="48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Subordinated notes, debentures and other borrowings</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1,426</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3,947</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3,014</w:t>
            </w:r>
          </w:p>
        </w:tc>
      </w:tr>
      <w:tr>
        <w:trPr>
          <w:trHeight w:val="162"/>
        </w:trPr>
        <w:tc>
          <w:tcPr>
            <w:tcW w:w="4840" w:type="dxa"/>
            <w:vAlign w:val="bottom"/>
            <w:shd w:val="clear" w:color="auto" w:fill="CCEEFF"/>
          </w:tcPr>
          <w:p>
            <w:pPr>
              <w:ind w:left="800"/>
              <w:spacing w:after="0"/>
              <w:rPr>
                <w:sz w:val="20"/>
                <w:szCs w:val="20"/>
                <w:color w:val="auto"/>
              </w:rPr>
            </w:pPr>
            <w:r>
              <w:rPr>
                <w:rFonts w:ascii="Arial" w:cs="Arial" w:eastAsia="Arial" w:hAnsi="Arial"/>
                <w:sz w:val="11"/>
                <w:szCs w:val="11"/>
                <w:b w:val="1"/>
                <w:bCs w:val="1"/>
                <w:color w:val="auto"/>
              </w:rPr>
              <w:t>Total Interest Expense</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102,879</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101,430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302,043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290,399</w:t>
            </w:r>
          </w:p>
        </w:tc>
      </w:tr>
      <w:tr>
        <w:trPr>
          <w:trHeight w:val="149"/>
        </w:trPr>
        <w:tc>
          <w:tcPr>
            <w:tcW w:w="4840" w:type="dxa"/>
            <w:vAlign w:val="bottom"/>
          </w:tcPr>
          <w:p>
            <w:pPr>
              <w:ind w:left="20"/>
              <w:spacing w:after="0"/>
              <w:rPr>
                <w:sz w:val="20"/>
                <w:szCs w:val="20"/>
                <w:color w:val="auto"/>
              </w:rPr>
            </w:pPr>
            <w:r>
              <w:rPr>
                <w:rFonts w:ascii="Arial" w:cs="Arial" w:eastAsia="Arial" w:hAnsi="Arial"/>
                <w:sz w:val="11"/>
                <w:szCs w:val="11"/>
                <w:b w:val="1"/>
                <w:bCs w:val="1"/>
                <w:color w:val="auto"/>
              </w:rPr>
              <w:t>NET INTEREST INCOME</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161,068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133,665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471,312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396,949</w:t>
            </w:r>
          </w:p>
        </w:tc>
      </w:tr>
      <w:tr>
        <w:trPr>
          <w:trHeight w:val="169"/>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Provision for credit losses</w:t>
            </w:r>
          </w:p>
        </w:tc>
        <w:tc>
          <w:tcPr>
            <w:tcW w:w="9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3,300</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4,300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41,200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14,100</w:t>
            </w:r>
          </w:p>
        </w:tc>
      </w:tr>
      <w:tr>
        <w:trPr>
          <w:trHeight w:val="148"/>
        </w:trPr>
        <w:tc>
          <w:tcPr>
            <w:tcW w:w="4840" w:type="dxa"/>
            <w:vAlign w:val="bottom"/>
          </w:tcPr>
          <w:p>
            <w:pPr>
              <w:ind w:left="20"/>
              <w:spacing w:after="0"/>
              <w:rPr>
                <w:sz w:val="20"/>
                <w:szCs w:val="20"/>
                <w:color w:val="auto"/>
              </w:rPr>
            </w:pPr>
            <w:r>
              <w:rPr>
                <w:rFonts w:ascii="Arial" w:cs="Arial" w:eastAsia="Arial" w:hAnsi="Arial"/>
                <w:sz w:val="11"/>
                <w:szCs w:val="11"/>
                <w:b w:val="1"/>
                <w:bCs w:val="1"/>
                <w:color w:val="auto"/>
              </w:rPr>
              <w:t>NET INTEREST INCOME AFTER PROVISION FOR CREDIT LOSSES</w:t>
            </w:r>
          </w:p>
        </w:tc>
        <w:tc>
          <w:tcPr>
            <w:tcW w:w="9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157,768</w:t>
            </w: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129,365</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430,112</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382,849</w:t>
            </w:r>
          </w:p>
        </w:tc>
      </w:tr>
      <w:tr>
        <w:trPr>
          <w:trHeight w:val="169"/>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NONINTEREST INCOME</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Service charges on deposit accounts</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9,775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8,921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28,184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25,559</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Fiduciary and wealth management fees</w:t>
            </w: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9,786</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8,842</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29,192</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26,317</w:t>
            </w: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Card payment fees</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5,606</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5,007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16,386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14,465</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Net gains and fees on sales of loans</w:t>
            </w: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7,428</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4,983</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21,681</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15,854</w:t>
            </w: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Derivative hedge fees</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1,082</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1,097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2,763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2,332</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2"/>
        </w:trPr>
        <w:tc>
          <w:tcPr>
            <w:tcW w:w="48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Other customer fees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584</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2,057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1,230</w:t>
            </w:r>
          </w:p>
        </w:tc>
      </w:tr>
      <w:tr>
        <w:trPr>
          <w:trHeight w:val="152"/>
        </w:trPr>
        <w:tc>
          <w:tcPr>
            <w:tcW w:w="4840" w:type="dxa"/>
            <w:vAlign w:val="bottom"/>
          </w:tcPr>
          <w:p>
            <w:pPr>
              <w:ind w:left="360"/>
              <w:spacing w:after="0"/>
              <w:rPr>
                <w:sz w:val="20"/>
                <w:szCs w:val="20"/>
                <w:color w:val="auto"/>
              </w:rPr>
            </w:pPr>
            <w:r>
              <w:rPr>
                <w:rFonts w:ascii="Arial" w:cs="Arial" w:eastAsia="Arial" w:hAnsi="Arial"/>
                <w:sz w:val="11"/>
                <w:szCs w:val="11"/>
                <w:color w:val="auto"/>
              </w:rPr>
              <w:t>Earnings on bank-owned life insurance</w:t>
            </w: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2,353</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8,124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5,759</w:t>
            </w:r>
          </w:p>
        </w:tc>
      </w:tr>
      <w:tr>
        <w:trPr>
          <w:trHeight w:val="15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Net realized losses on sales of available for sale securities</w:t>
            </w:r>
          </w:p>
        </w:tc>
        <w:tc>
          <w:tcPr>
            <w:tcW w:w="9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Net loss on mortgage loans reclassified to held for sale</w:t>
            </w:r>
          </w:p>
        </w:tc>
        <w:tc>
          <w:tcPr>
            <w:tcW w:w="98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(29,755)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2"/>
        </w:trPr>
        <w:tc>
          <w:tcPr>
            <w:tcW w:w="48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Other income</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1,391</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1,546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2,358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2,320</w:t>
            </w:r>
          </w:p>
        </w:tc>
      </w:tr>
      <w:tr>
        <w:trPr>
          <w:trHeight w:val="149"/>
        </w:trPr>
        <w:tc>
          <w:tcPr>
            <w:tcW w:w="4840" w:type="dxa"/>
            <w:vAlign w:val="bottom"/>
          </w:tcPr>
          <w:p>
            <w:pPr>
              <w:ind w:left="800"/>
              <w:spacing w:after="0"/>
              <w:rPr>
                <w:sz w:val="20"/>
                <w:szCs w:val="20"/>
                <w:color w:val="auto"/>
              </w:rPr>
            </w:pPr>
            <w:r>
              <w:rPr>
                <w:rFonts w:ascii="Arial" w:cs="Arial" w:eastAsia="Arial" w:hAnsi="Arial"/>
                <w:sz w:val="11"/>
                <w:szCs w:val="11"/>
                <w:b w:val="1"/>
                <w:bCs w:val="1"/>
                <w:color w:val="auto"/>
              </w:rPr>
              <w:t>Total Noninterest Income</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38,005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32,477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80,990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93,828</w:t>
            </w:r>
          </w:p>
        </w:tc>
      </w:tr>
      <w:tr>
        <w:trPr>
          <w:trHeight w:val="169"/>
        </w:trPr>
        <w:tc>
          <w:tcPr>
            <w:tcW w:w="4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NONINTEREST EXPENSE</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2"/>
        </w:trPr>
        <w:tc>
          <w:tcPr>
            <w:tcW w:w="4840" w:type="dxa"/>
            <w:vAlign w:val="bottom"/>
          </w:tcPr>
          <w:p>
            <w:pPr>
              <w:ind w:left="360"/>
              <w:spacing w:after="0"/>
              <w:rPr>
                <w:sz w:val="20"/>
                <w:szCs w:val="20"/>
                <w:color w:val="auto"/>
              </w:rPr>
            </w:pPr>
            <w:r>
              <w:rPr>
                <w:rFonts w:ascii="Arial" w:cs="Arial" w:eastAsia="Arial" w:hAnsi="Arial"/>
                <w:sz w:val="11"/>
                <w:szCs w:val="11"/>
                <w:color w:val="auto"/>
              </w:rPr>
              <w:t>Salaries and employee benefits</w:t>
            </w: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66,339</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57,317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201,556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166,826</w:t>
            </w:r>
          </w:p>
        </w:tc>
      </w:tr>
      <w:tr>
        <w:trPr>
          <w:trHeight w:val="15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Net occupancy</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8,807</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7,057</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25,335</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21,118</w:t>
            </w: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Equipment</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8,061</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6,998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24,482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20,933</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2"/>
        </w:trPr>
        <w:tc>
          <w:tcPr>
            <w:tcW w:w="48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Marketing</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3,630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7,601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5,470</w:t>
            </w:r>
          </w:p>
        </w:tc>
      </w:tr>
      <w:tr>
        <w:trPr>
          <w:trHeight w:val="152"/>
        </w:trPr>
        <w:tc>
          <w:tcPr>
            <w:tcW w:w="4840" w:type="dxa"/>
            <w:vAlign w:val="bottom"/>
          </w:tcPr>
          <w:p>
            <w:pPr>
              <w:ind w:left="360"/>
              <w:spacing w:after="0"/>
              <w:rPr>
                <w:sz w:val="20"/>
                <w:szCs w:val="20"/>
                <w:color w:val="auto"/>
              </w:rPr>
            </w:pPr>
            <w:r>
              <w:rPr>
                <w:rFonts w:ascii="Arial" w:cs="Arial" w:eastAsia="Arial" w:hAnsi="Arial"/>
                <w:sz w:val="11"/>
                <w:szCs w:val="11"/>
                <w:color w:val="auto"/>
              </w:rPr>
              <w:t>Outside data processing fees</w:t>
            </w: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7,883</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6,943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23,118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19,979</w:t>
            </w:r>
          </w:p>
        </w:tc>
      </w:tr>
      <w:tr>
        <w:trPr>
          <w:trHeight w:val="15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Printing and office supplies</w:t>
            </w: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481</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1,349</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930</w:t>
            </w: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Intangible asset amortization</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2,652</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1,499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7,660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4,530</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FDIC assessments</w:t>
            </w: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4,381</w:t>
            </w: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3,526</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12,664</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10,726</w:t>
            </w:r>
          </w:p>
        </w:tc>
      </w:tr>
      <w:tr>
        <w:trPr>
          <w:trHeight w:val="152"/>
        </w:trPr>
        <w:tc>
          <w:tcPr>
            <w:tcW w:w="4840" w:type="dxa"/>
            <w:vAlign w:val="bottom"/>
          </w:tcPr>
          <w:p>
            <w:pPr>
              <w:ind w:left="360"/>
              <w:spacing w:after="0"/>
              <w:rPr>
                <w:sz w:val="20"/>
                <w:szCs w:val="20"/>
                <w:color w:val="auto"/>
              </w:rPr>
            </w:pPr>
            <w:r>
              <w:rPr>
                <w:rFonts w:ascii="Arial" w:cs="Arial" w:eastAsia="Arial" w:hAnsi="Arial"/>
                <w:sz w:val="11"/>
                <w:szCs w:val="11"/>
                <w:color w:val="auto"/>
              </w:rPr>
              <w:t>Other real estate owned and foreclosure expenses</w:t>
            </w: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1,594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3,746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750</w:t>
            </w:r>
          </w:p>
        </w:tc>
      </w:tr>
      <w:tr>
        <w:trPr>
          <w:trHeight w:val="172"/>
        </w:trPr>
        <w:tc>
          <w:tcPr>
            <w:tcW w:w="48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Professional and other outside services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4,665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24,237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10,720</w:t>
            </w:r>
          </w:p>
        </w:tc>
      </w:tr>
      <w:tr>
        <w:trPr>
          <w:trHeight w:val="155"/>
        </w:trPr>
        <w:tc>
          <w:tcPr>
            <w:tcW w:w="48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Other expenses</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7,761</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6,951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24,998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21,079</w:t>
            </w:r>
          </w:p>
        </w:tc>
      </w:tr>
      <w:tr>
        <w:trPr>
          <w:trHeight w:val="162"/>
        </w:trPr>
        <w:tc>
          <w:tcPr>
            <w:tcW w:w="4840" w:type="dxa"/>
            <w:vAlign w:val="bottom"/>
            <w:shd w:val="clear" w:color="auto" w:fill="CCEEFF"/>
          </w:tcPr>
          <w:p>
            <w:pPr>
              <w:ind w:left="800"/>
              <w:spacing w:after="0"/>
              <w:rPr>
                <w:sz w:val="20"/>
                <w:szCs w:val="20"/>
                <w:color w:val="auto"/>
              </w:rPr>
            </w:pPr>
            <w:r>
              <w:rPr>
                <w:rFonts w:ascii="Arial" w:cs="Arial" w:eastAsia="Arial" w:hAnsi="Arial"/>
                <w:sz w:val="11"/>
                <w:szCs w:val="11"/>
                <w:b w:val="1"/>
                <w:bCs w:val="1"/>
                <w:color w:val="auto"/>
              </w:rPr>
              <w:t>Total Noninterest Expense</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116,254</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96,561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356,746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283,061</w:t>
            </w:r>
          </w:p>
        </w:tc>
      </w:tr>
      <w:tr>
        <w:trPr>
          <w:trHeight w:val="149"/>
        </w:trPr>
        <w:tc>
          <w:tcPr>
            <w:tcW w:w="4840" w:type="dxa"/>
            <w:vAlign w:val="bottom"/>
          </w:tcPr>
          <w:p>
            <w:pPr>
              <w:ind w:left="20"/>
              <w:spacing w:after="0"/>
              <w:rPr>
                <w:sz w:val="20"/>
                <w:szCs w:val="20"/>
                <w:color w:val="auto"/>
              </w:rPr>
            </w:pPr>
            <w:r>
              <w:rPr>
                <w:rFonts w:ascii="Arial" w:cs="Arial" w:eastAsia="Arial" w:hAnsi="Arial"/>
                <w:sz w:val="11"/>
                <w:szCs w:val="11"/>
                <w:b w:val="1"/>
                <w:bCs w:val="1"/>
                <w:color w:val="auto"/>
              </w:rPr>
              <w:t>Income Before Income Taxes</w:t>
            </w: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79,519</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65,281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154,356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193,616</w:t>
            </w:r>
          </w:p>
        </w:tc>
      </w:tr>
      <w:tr>
        <w:trPr>
          <w:trHeight w:val="169"/>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Income tax expense</w:t>
            </w:r>
          </w:p>
        </w:tc>
        <w:tc>
          <w:tcPr>
            <w:tcW w:w="9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11,204</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8,516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13,905</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24,680</w:t>
            </w:r>
          </w:p>
        </w:tc>
      </w:tr>
      <w:tr>
        <w:trPr>
          <w:trHeight w:val="149"/>
        </w:trPr>
        <w:tc>
          <w:tcPr>
            <w:tcW w:w="4840" w:type="dxa"/>
            <w:vAlign w:val="bottom"/>
          </w:tcPr>
          <w:p>
            <w:pPr>
              <w:ind w:left="20"/>
              <w:spacing w:after="0"/>
              <w:rPr>
                <w:sz w:val="20"/>
                <w:szCs w:val="20"/>
                <w:color w:val="auto"/>
              </w:rPr>
            </w:pPr>
            <w:r>
              <w:rPr>
                <w:rFonts w:ascii="Arial" w:cs="Arial" w:eastAsia="Arial" w:hAnsi="Arial"/>
                <w:sz w:val="11"/>
                <w:szCs w:val="11"/>
                <w:b w:val="1"/>
                <w:bCs w:val="1"/>
                <w:color w:val="auto"/>
              </w:rPr>
              <w:t>NET INCOME</w:t>
            </w:r>
          </w:p>
        </w:tc>
        <w:tc>
          <w:tcPr>
            <w:tcW w:w="9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68,315</w:t>
            </w: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56,765</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140,451</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168,936</w:t>
            </w:r>
          </w:p>
        </w:tc>
      </w:tr>
      <w:tr>
        <w:trPr>
          <w:trHeight w:val="162"/>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Preferred stock dividends</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468</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468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1,406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1,406</w:t>
            </w:r>
          </w:p>
        </w:tc>
      </w:tr>
      <w:tr>
        <w:trPr>
          <w:trHeight w:val="162"/>
        </w:trPr>
        <w:tc>
          <w:tcPr>
            <w:tcW w:w="4840" w:type="dxa"/>
            <w:vAlign w:val="bottom"/>
          </w:tcPr>
          <w:p>
            <w:pPr>
              <w:ind w:left="20"/>
              <w:spacing w:after="0"/>
              <w:rPr>
                <w:sz w:val="20"/>
                <w:szCs w:val="20"/>
                <w:color w:val="auto"/>
              </w:rPr>
            </w:pPr>
            <w:r>
              <w:rPr>
                <w:rFonts w:ascii="Arial" w:cs="Arial" w:eastAsia="Arial" w:hAnsi="Arial"/>
                <w:sz w:val="11"/>
                <w:szCs w:val="11"/>
                <w:b w:val="1"/>
                <w:bCs w:val="1"/>
                <w:color w:val="auto"/>
              </w:rPr>
              <w:t>NET INCOME AVAILABLE TO COMMON STOCKHOLDERS</w:t>
            </w:r>
          </w:p>
        </w:tc>
        <w:tc>
          <w:tcPr>
            <w:tcW w:w="98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67,847</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56,297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139,045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167,530</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9"/>
        </w:trPr>
        <w:tc>
          <w:tcPr>
            <w:tcW w:w="4840" w:type="dxa"/>
            <w:vAlign w:val="bottom"/>
            <w:tcBorders>
              <w:bottom w:val="single" w:sz="8" w:color="CCEEFF"/>
            </w:tcBorders>
            <w:shd w:val="clear" w:color="auto" w:fill="CCEEFF"/>
          </w:tcPr>
          <w:p>
            <w:pPr>
              <w:ind w:left="20"/>
              <w:spacing w:after="0" w:line="109" w:lineRule="exact"/>
              <w:rPr>
                <w:sz w:val="20"/>
                <w:szCs w:val="20"/>
                <w:color w:val="auto"/>
              </w:rPr>
            </w:pPr>
            <w:r>
              <w:rPr>
                <w:rFonts w:ascii="Arial" w:cs="Arial" w:eastAsia="Arial" w:hAnsi="Arial"/>
                <w:sz w:val="11"/>
                <w:szCs w:val="11"/>
                <w:color w:val="auto"/>
              </w:rPr>
              <w:t>Per Share Data:</w:t>
            </w:r>
          </w:p>
        </w:tc>
        <w:tc>
          <w:tcPr>
            <w:tcW w:w="98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180" w:type="dxa"/>
            <w:vAlign w:val="bottom"/>
            <w:tcBorders>
              <w:bottom w:val="single" w:sz="8" w:color="CCEEFF"/>
            </w:tcBorders>
            <w:shd w:val="clear" w:color="auto" w:fill="CCEEFF"/>
          </w:tcPr>
          <w:p>
            <w:pPr>
              <w:spacing w:after="0"/>
              <w:rPr>
                <w:sz w:val="9"/>
                <w:szCs w:val="9"/>
                <w:color w:val="auto"/>
              </w:rPr>
            </w:pPr>
          </w:p>
        </w:tc>
      </w:tr>
      <w:tr>
        <w:trPr>
          <w:trHeight w:val="152"/>
        </w:trPr>
        <w:tc>
          <w:tcPr>
            <w:tcW w:w="4840" w:type="dxa"/>
            <w:vAlign w:val="bottom"/>
          </w:tcPr>
          <w:p>
            <w:pPr>
              <w:ind w:left="360"/>
              <w:spacing w:after="0"/>
              <w:rPr>
                <w:sz w:val="20"/>
                <w:szCs w:val="20"/>
                <w:color w:val="auto"/>
              </w:rPr>
            </w:pPr>
            <w:r>
              <w:rPr>
                <w:rFonts w:ascii="Arial" w:cs="Arial" w:eastAsia="Arial" w:hAnsi="Arial"/>
                <w:sz w:val="11"/>
                <w:szCs w:val="11"/>
                <w:color w:val="auto"/>
              </w:rPr>
              <w:t>Basic Net Income Available to Common Stockholders</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3"/>
                <w:szCs w:val="13"/>
                <w:color w:val="auto"/>
              </w:rPr>
            </w:pP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0.98</w:t>
            </w:r>
          </w:p>
        </w:tc>
        <w:tc>
          <w:tcPr>
            <w:tcW w:w="100" w:type="dxa"/>
            <w:vAlign w:val="bottom"/>
          </w:tcPr>
          <w:p>
            <w:pPr>
              <w:spacing w:after="0"/>
              <w:rPr>
                <w:sz w:val="13"/>
                <w:szCs w:val="13"/>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2.25</w:t>
            </w:r>
          </w:p>
        </w:tc>
        <w:tc>
          <w:tcPr>
            <w:tcW w:w="100" w:type="dxa"/>
            <w:vAlign w:val="bottom"/>
          </w:tcPr>
          <w:p>
            <w:pPr>
              <w:spacing w:after="0"/>
              <w:rPr>
                <w:sz w:val="13"/>
                <w:szCs w:val="13"/>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2.91</w:t>
            </w:r>
          </w:p>
        </w:tc>
      </w:tr>
      <w:tr>
        <w:trPr>
          <w:trHeight w:val="172"/>
        </w:trPr>
        <w:tc>
          <w:tcPr>
            <w:tcW w:w="48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Diluted Net Income Available to Common Stockholders</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r>
      <w:tr>
        <w:trPr>
          <w:trHeight w:val="142"/>
        </w:trPr>
        <w:tc>
          <w:tcPr>
            <w:tcW w:w="4840" w:type="dxa"/>
            <w:vAlign w:val="bottom"/>
          </w:tcPr>
          <w:p>
            <w:pPr>
              <w:ind w:left="360"/>
              <w:spacing w:after="0"/>
              <w:rPr>
                <w:sz w:val="20"/>
                <w:szCs w:val="20"/>
                <w:color w:val="auto"/>
              </w:rPr>
            </w:pPr>
            <w:r>
              <w:rPr>
                <w:rFonts w:ascii="Arial" w:cs="Arial" w:eastAsia="Arial" w:hAnsi="Arial"/>
                <w:sz w:val="11"/>
                <w:szCs w:val="11"/>
                <w:color w:val="auto"/>
              </w:rPr>
              <w:t>Cash Dividends Paid</w:t>
            </w: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0.37</w:t>
            </w:r>
          </w:p>
        </w:tc>
        <w:tc>
          <w:tcPr>
            <w:tcW w:w="100" w:type="dxa"/>
            <w:vAlign w:val="bottom"/>
          </w:tcPr>
          <w:p>
            <w:pPr>
              <w:spacing w:after="0"/>
              <w:rPr>
                <w:sz w:val="12"/>
                <w:szCs w:val="12"/>
                <w:color w:val="auto"/>
              </w:rPr>
            </w:pPr>
          </w:p>
        </w:tc>
        <w:tc>
          <w:tcPr>
            <w:tcW w:w="980" w:type="dxa"/>
            <w:vAlign w:val="bottom"/>
          </w:tcPr>
          <w:p>
            <w:pPr>
              <w:jc w:val="right"/>
              <w:ind w:right="8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0.36</w:t>
            </w:r>
          </w:p>
        </w:tc>
        <w:tc>
          <w:tcPr>
            <w:tcW w:w="10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1.07</w:t>
            </w:r>
          </w:p>
        </w:tc>
      </w:tr>
      <w:tr>
        <w:trPr>
          <w:trHeight w:val="20"/>
        </w:trPr>
        <w:tc>
          <w:tcPr>
            <w:tcW w:w="4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42"/>
        </w:trPr>
        <w:tc>
          <w:tcPr>
            <w:tcW w:w="48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Average Diluted Common Shares Outstanding (in thousands)</w:t>
            </w: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62,411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57,448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62,003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57,817</w:t>
            </w:r>
          </w:p>
        </w:tc>
      </w:tr>
      <w:tr>
        <w:trPr>
          <w:trHeight w:val="20"/>
        </w:trPr>
        <w:tc>
          <w:tcPr>
            <w:tcW w:w="48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CONDENSED STATEMENTS OF COMPREHENSIVE INCOME (LOSS)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440" w:type="dxa"/>
            <w:vAlign w:val="bottom"/>
          </w:tcPr>
          <w:p>
            <w:pPr>
              <w:spacing w:after="0"/>
              <w:rPr>
                <w:sz w:val="12"/>
                <w:szCs w:val="12"/>
                <w:color w:val="auto"/>
              </w:rPr>
            </w:pPr>
          </w:p>
        </w:tc>
        <w:tc>
          <w:tcPr>
            <w:tcW w:w="2800" w:type="dxa"/>
            <w:vAlign w:val="bottom"/>
            <w:gridSpan w:val="4"/>
          </w:tcPr>
          <w:p>
            <w:pPr>
              <w:jc w:val="right"/>
              <w:ind w:right="166"/>
              <w:spacing w:after="0"/>
              <w:rPr>
                <w:sz w:val="20"/>
                <w:szCs w:val="20"/>
                <w:color w:val="auto"/>
              </w:rPr>
            </w:pPr>
            <w:r>
              <w:rPr>
                <w:rFonts w:ascii="Arial" w:cs="Arial" w:eastAsia="Arial" w:hAnsi="Arial"/>
                <w:sz w:val="11"/>
                <w:szCs w:val="11"/>
                <w:b w:val="1"/>
                <w:bCs w:val="1"/>
                <w:color w:val="auto"/>
              </w:rPr>
              <w:t>Three Months Ended September 30,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60" w:type="dxa"/>
            <w:vAlign w:val="bottom"/>
            <w:gridSpan w:val="4"/>
          </w:tcPr>
          <w:p>
            <w:pPr>
              <w:jc w:val="right"/>
              <w:ind w:right="726"/>
              <w:spacing w:after="0"/>
              <w:rPr>
                <w:sz w:val="20"/>
                <w:szCs w:val="20"/>
                <w:color w:val="auto"/>
              </w:rPr>
            </w:pPr>
            <w:r>
              <w:rPr>
                <w:rFonts w:ascii="Arial" w:cs="Arial" w:eastAsia="Arial" w:hAnsi="Arial"/>
                <w:sz w:val="11"/>
                <w:szCs w:val="11"/>
                <w:b w:val="1"/>
                <w:bCs w:val="1"/>
                <w:color w:val="auto"/>
              </w:rPr>
              <w:t>Nine Months Ended September 30,</w:t>
            </w:r>
          </w:p>
        </w:tc>
      </w:tr>
      <w:tr>
        <w:trPr>
          <w:trHeight w:val="169"/>
        </w:trPr>
        <w:tc>
          <w:tcPr>
            <w:tcW w:w="44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2025</w:t>
            </w:r>
          </w:p>
        </w:tc>
      </w:tr>
      <w:tr>
        <w:trPr>
          <w:trHeight w:val="14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040" w:type="dxa"/>
            <w:vAlign w:val="bottom"/>
            <w:tcBorders>
              <w:bottom w:val="single" w:sz="8" w:color="CCEEFF"/>
            </w:tcBorders>
            <w:shd w:val="clear" w:color="auto" w:fill="CCEEFF"/>
          </w:tcPr>
          <w:p>
            <w:pPr>
              <w:jc w:val="right"/>
              <w:ind w:right="9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68,315</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94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56,765</w:t>
            </w: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140,451</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168,936</w:t>
            </w:r>
          </w:p>
        </w:tc>
      </w:tr>
      <w:tr>
        <w:trPr>
          <w:trHeight w:val="142"/>
        </w:trPr>
        <w:tc>
          <w:tcPr>
            <w:tcW w:w="4440" w:type="dxa"/>
            <w:vAlign w:val="bottom"/>
          </w:tcPr>
          <w:p>
            <w:pPr>
              <w:ind w:left="20"/>
              <w:spacing w:after="0"/>
              <w:rPr>
                <w:sz w:val="20"/>
                <w:szCs w:val="20"/>
                <w:color w:val="auto"/>
              </w:rPr>
            </w:pPr>
            <w:r>
              <w:rPr>
                <w:rFonts w:ascii="Arial" w:cs="Arial" w:eastAsia="Arial" w:hAnsi="Arial"/>
                <w:sz w:val="11"/>
                <w:szCs w:val="11"/>
                <w:color w:val="auto"/>
              </w:rPr>
              <w:t>Other comprehensive income (loss):</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
        </w:trPr>
        <w:tc>
          <w:tcPr>
            <w:tcW w:w="4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2"/>
        </w:trPr>
        <w:tc>
          <w:tcPr>
            <w:tcW w:w="44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Unrealized gains (losses) on securities available for sale:</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42"/>
        </w:trPr>
        <w:tc>
          <w:tcPr>
            <w:tcW w:w="4440" w:type="dxa"/>
            <w:vAlign w:val="bottom"/>
          </w:tcPr>
          <w:p>
            <w:pPr>
              <w:ind w:left="360"/>
              <w:spacing w:after="0"/>
              <w:rPr>
                <w:sz w:val="20"/>
                <w:szCs w:val="20"/>
                <w:color w:val="auto"/>
              </w:rPr>
            </w:pPr>
            <w:r>
              <w:rPr>
                <w:rFonts w:ascii="Arial" w:cs="Arial" w:eastAsia="Arial" w:hAnsi="Arial"/>
                <w:sz w:val="11"/>
                <w:szCs w:val="11"/>
                <w:color w:val="auto"/>
              </w:rPr>
              <w:t>Unrealized holding gain (loss) arising during the period</w:t>
            </w:r>
          </w:p>
        </w:tc>
        <w:tc>
          <w:tcPr>
            <w:tcW w:w="10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(119,423)</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43,178</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(123,800)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41,538</w:t>
            </w:r>
          </w:p>
        </w:tc>
      </w:tr>
      <w:tr>
        <w:trPr>
          <w:trHeight w:val="20"/>
        </w:trPr>
        <w:tc>
          <w:tcPr>
            <w:tcW w:w="4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2"/>
        </w:trPr>
        <w:tc>
          <w:tcPr>
            <w:tcW w:w="4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Reclassification adjustment for losses included in net income</w:t>
            </w:r>
          </w:p>
        </w:tc>
        <w:tc>
          <w:tcPr>
            <w:tcW w:w="10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r>
      <w:tr>
        <w:trPr>
          <w:trHeight w:val="156"/>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Tax effect</w:t>
            </w: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25,079</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(9,067)</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25,998</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(8,725)</w:t>
            </w:r>
          </w:p>
        </w:tc>
      </w:tr>
      <w:tr>
        <w:trPr>
          <w:trHeight w:val="155"/>
        </w:trPr>
        <w:tc>
          <w:tcPr>
            <w:tcW w:w="4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other comprehensive income (loss), net of tax</w:t>
            </w:r>
          </w:p>
        </w:tc>
        <w:tc>
          <w:tcPr>
            <w:tcW w:w="10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(94,344)</w:t>
            </w:r>
          </w:p>
        </w:tc>
        <w:tc>
          <w:tcPr>
            <w:tcW w:w="1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34,111</w:t>
            </w: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(97,802)</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32,821</w:t>
            </w:r>
          </w:p>
        </w:tc>
      </w:tr>
      <w:tr>
        <w:trPr>
          <w:trHeight w:val="162"/>
        </w:trPr>
        <w:tc>
          <w:tcPr>
            <w:tcW w:w="4440" w:type="dxa"/>
            <w:vAlign w:val="bottom"/>
          </w:tcPr>
          <w:p>
            <w:pPr>
              <w:ind w:left="20"/>
              <w:spacing w:after="0"/>
              <w:rPr>
                <w:sz w:val="20"/>
                <w:szCs w:val="20"/>
                <w:color w:val="auto"/>
              </w:rPr>
            </w:pPr>
            <w:r>
              <w:rPr>
                <w:rFonts w:ascii="Arial" w:cs="Arial" w:eastAsia="Arial" w:hAnsi="Arial"/>
                <w:sz w:val="11"/>
                <w:szCs w:val="11"/>
                <w:color w:val="auto"/>
              </w:rPr>
              <w:t>Comprehensive income (loss)</w:t>
            </w:r>
          </w:p>
        </w:tc>
        <w:tc>
          <w:tcPr>
            <w:tcW w:w="1040" w:type="dxa"/>
            <w:vAlign w:val="bottom"/>
            <w:tcBorders>
              <w:bottom w:val="single" w:sz="8" w:color="auto"/>
            </w:tcBorders>
          </w:tcPr>
          <w:p>
            <w:pPr>
              <w:jc w:val="right"/>
              <w:ind w:right="9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(26,029)</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4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90,876</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42,649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201,757</w:t>
            </w:r>
          </w:p>
        </w:tc>
      </w:tr>
      <w:tr>
        <w:trPr>
          <w:trHeight w:val="20"/>
        </w:trPr>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5380"/>
        <w:spacing w:after="0" w:line="261" w:lineRule="auto"/>
        <w:rPr>
          <w:sz w:val="20"/>
          <w:szCs w:val="20"/>
          <w:color w:val="auto"/>
        </w:rPr>
      </w:pPr>
      <w:r>
        <w:rPr>
          <w:rFonts w:ascii="Arial" w:cs="Arial" w:eastAsia="Arial" w:hAnsi="Arial"/>
          <w:sz w:val="16"/>
          <w:szCs w:val="16"/>
          <w:b w:val="1"/>
          <w:bCs w:val="1"/>
          <w:color w:val="auto"/>
        </w:rPr>
        <w:t xml:space="preserve">CONSOLIDATED CONDENSED STATEMENTS OF STOCKHOLDERS’ EQUITY </w:t>
      </w:r>
      <w:r>
        <w:rPr>
          <w:rFonts w:ascii="Arial" w:cs="Arial" w:eastAsia="Arial" w:hAnsi="Arial"/>
          <w:sz w:val="14"/>
          <w:szCs w:val="14"/>
          <w:color w:val="auto"/>
        </w:rPr>
        <w:t>(Unaudited)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1"/>
          </w:tcPr>
          <w:p>
            <w:pPr>
              <w:ind w:left="220"/>
              <w:spacing w:after="0"/>
              <w:rPr>
                <w:sz w:val="20"/>
                <w:szCs w:val="20"/>
                <w:color w:val="auto"/>
              </w:rPr>
            </w:pPr>
            <w:r>
              <w:rPr>
                <w:rFonts w:ascii="Arial" w:cs="Arial" w:eastAsia="Arial" w:hAnsi="Arial"/>
                <w:sz w:val="11"/>
                <w:szCs w:val="11"/>
                <w:b w:val="1"/>
                <w:bCs w:val="1"/>
                <w:color w:val="auto"/>
                <w:w w:val="99"/>
              </w:rPr>
              <w:t>Three Months Ended September 30, 2026</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1440" w:type="dxa"/>
            <w:vAlign w:val="bottom"/>
            <w:gridSpan w:val="6"/>
          </w:tcPr>
          <w:p>
            <w:pPr>
              <w:ind w:left="120"/>
              <w:spacing w:after="0" w:line="109" w:lineRule="exact"/>
              <w:rPr>
                <w:sz w:val="20"/>
                <w:szCs w:val="20"/>
                <w:color w:val="auto"/>
              </w:rPr>
            </w:pPr>
            <w:r>
              <w:rPr>
                <w:rFonts w:ascii="Arial" w:cs="Arial" w:eastAsia="Arial" w:hAnsi="Arial"/>
                <w:sz w:val="11"/>
                <w:szCs w:val="11"/>
                <w:b w:val="1"/>
                <w:bCs w:val="1"/>
                <w:color w:val="auto"/>
              </w:rPr>
              <w:t>Cumulative Preferred</w:t>
            </w:r>
          </w:p>
        </w:tc>
        <w:tc>
          <w:tcPr>
            <w:tcW w:w="1420" w:type="dxa"/>
            <w:vAlign w:val="bottom"/>
            <w:gridSpan w:val="8"/>
          </w:tcPr>
          <w:p>
            <w:pPr>
              <w:ind w:left="260"/>
              <w:spacing w:after="0" w:line="109" w:lineRule="exact"/>
              <w:rPr>
                <w:sz w:val="20"/>
                <w:szCs w:val="20"/>
                <w:color w:val="auto"/>
              </w:rPr>
            </w:pPr>
            <w:r>
              <w:rPr>
                <w:rFonts w:ascii="Arial" w:cs="Arial" w:eastAsia="Arial" w:hAnsi="Arial"/>
                <w:sz w:val="11"/>
                <w:szCs w:val="11"/>
                <w:b w:val="1"/>
                <w:bCs w:val="1"/>
                <w:color w:val="auto"/>
              </w:rPr>
              <w:t>Non-Cumulative</w:t>
            </w:r>
          </w:p>
        </w:tc>
        <w:tc>
          <w:tcPr>
            <w:tcW w:w="1480" w:type="dxa"/>
            <w:vAlign w:val="bottom"/>
            <w:gridSpan w:val="6"/>
            <w:vMerge w:val="restart"/>
          </w:tcPr>
          <w:p>
            <w:pPr>
              <w:jc w:val="right"/>
              <w:ind w:right="28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gridSpan w:val="2"/>
            <w:vMerge w:val="restart"/>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820" w:type="dxa"/>
            <w:vAlign w:val="bottom"/>
            <w:tcBorders>
              <w:bottom w:val="single" w:sz="8" w:color="auto"/>
            </w:tcBorders>
            <w:gridSpan w:val="3"/>
          </w:tcPr>
          <w:p>
            <w:pPr>
              <w:ind w:left="520"/>
              <w:spacing w:after="0"/>
              <w:rPr>
                <w:sz w:val="20"/>
                <w:szCs w:val="20"/>
                <w:color w:val="auto"/>
              </w:rPr>
            </w:pPr>
            <w:r>
              <w:rPr>
                <w:rFonts w:ascii="Arial" w:cs="Arial" w:eastAsia="Arial" w:hAnsi="Arial"/>
                <w:sz w:val="11"/>
                <w:szCs w:val="11"/>
                <w:b w:val="1"/>
                <w:bCs w:val="1"/>
                <w:color w:val="auto"/>
                <w:w w:val="93"/>
              </w:rPr>
              <w:t>Stock</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bottom w:val="single" w:sz="8" w:color="auto"/>
            </w:tcBorders>
            <w:gridSpan w:val="6"/>
          </w:tcPr>
          <w:p>
            <w:pPr>
              <w:ind w:left="26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gridSpan w:val="2"/>
          </w:tcPr>
          <w:p>
            <w:pPr>
              <w:spacing w:after="0"/>
              <w:rPr>
                <w:sz w:val="13"/>
                <w:szCs w:val="13"/>
                <w:color w:val="auto"/>
              </w:rPr>
            </w:pPr>
          </w:p>
        </w:tc>
        <w:tc>
          <w:tcPr>
            <w:tcW w:w="1480" w:type="dxa"/>
            <w:vAlign w:val="bottom"/>
            <w:tcBorders>
              <w:bottom w:val="single" w:sz="8" w:color="auto"/>
            </w:tcBorders>
            <w:gridSpan w:val="6"/>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980" w:type="dxa"/>
            <w:vAlign w:val="bottom"/>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gridSpan w:val="2"/>
            <w:vMerge w:val="restart"/>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gridSpan w:val="2"/>
            <w:vMerge w:val="restart"/>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100" w:type="dxa"/>
            <w:vAlign w:val="bottom"/>
            <w:gridSpan w:val="2"/>
            <w:vMerge w:val="restart"/>
          </w:tcPr>
          <w:p>
            <w:pPr>
              <w:spacing w:after="0"/>
              <w:rPr>
                <w:sz w:val="8"/>
                <w:szCs w:val="8"/>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20" w:type="dxa"/>
            <w:vAlign w:val="bottom"/>
            <w:gridSpan w:val="2"/>
            <w:vMerge w:val="restart"/>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120" w:type="dxa"/>
            <w:vAlign w:val="bottom"/>
            <w:gridSpan w:val="2"/>
            <w:vMerge w:val="restart"/>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right"/>
              <w:ind w:right="22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9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6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3"/>
              </w:rPr>
              <w:t>Loss</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June 30, 2026</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25,000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62,205,528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7,776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1,358,975</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1,438,894</w:t>
            </w:r>
          </w:p>
        </w:tc>
        <w:tc>
          <w:tcPr>
            <w:tcW w:w="2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(133,593)</w:t>
            </w:r>
          </w:p>
        </w:tc>
        <w:tc>
          <w:tcPr>
            <w:tcW w:w="300" w:type="dxa"/>
            <w:vAlign w:val="bottom"/>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2,697,177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80" w:type="dxa"/>
            <w:vAlign w:val="bottom"/>
          </w:tcPr>
          <w:p>
            <w:pPr>
              <w:ind w:left="220"/>
              <w:spacing w:after="0"/>
              <w:rPr>
                <w:sz w:val="20"/>
                <w:szCs w:val="20"/>
                <w:color w:val="auto"/>
              </w:rPr>
            </w:pPr>
            <w:r>
              <w:rPr>
                <w:rFonts w:ascii="Arial" w:cs="Arial" w:eastAsia="Arial" w:hAnsi="Arial"/>
                <w:sz w:val="11"/>
                <w:szCs w:val="11"/>
                <w:color w:val="auto"/>
              </w:rPr>
              <w:t>Comprehensive loss: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Net income</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68,315</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68,315</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80" w:type="dxa"/>
            <w:vAlign w:val="bottom"/>
          </w:tcPr>
          <w:p>
            <w:pPr>
              <w:ind w:left="440"/>
              <w:spacing w:after="0"/>
              <w:rPr>
                <w:sz w:val="20"/>
                <w:szCs w:val="20"/>
                <w:color w:val="auto"/>
              </w:rPr>
            </w:pPr>
            <w:r>
              <w:rPr>
                <w:rFonts w:ascii="Arial" w:cs="Arial" w:eastAsia="Arial" w:hAnsi="Arial"/>
                <w:sz w:val="11"/>
                <w:szCs w:val="11"/>
                <w:color w:val="auto"/>
              </w:rPr>
              <w:t>Other comprehensive loss, net of tax</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1"/>
                <w:szCs w:val="11"/>
                <w:color w:val="auto"/>
              </w:rPr>
              <w:t>(94,344)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(94,344)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Cash dividends on preferred stock ($46.88 per share)</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(468)</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(468)</w:t>
            </w:r>
          </w:p>
        </w:tc>
        <w:tc>
          <w:tcPr>
            <w:tcW w:w="0" w:type="dxa"/>
            <w:vAlign w:val="bottom"/>
          </w:tcPr>
          <w:p>
            <w:pPr>
              <w:spacing w:after="0"/>
              <w:rPr>
                <w:sz w:val="1"/>
                <w:szCs w:val="1"/>
                <w:color w:val="auto"/>
              </w:rPr>
            </w:pPr>
          </w:p>
        </w:tc>
      </w:tr>
      <w:tr>
        <w:trPr>
          <w:trHeight w:val="142"/>
        </w:trPr>
        <w:tc>
          <w:tcPr>
            <w:tcW w:w="2980" w:type="dxa"/>
            <w:vAlign w:val="bottom"/>
          </w:tcPr>
          <w:p>
            <w:pPr>
              <w:ind w:left="220"/>
              <w:spacing w:after="0"/>
              <w:rPr>
                <w:sz w:val="20"/>
                <w:szCs w:val="20"/>
                <w:color w:val="auto"/>
              </w:rPr>
            </w:pPr>
            <w:r>
              <w:rPr>
                <w:rFonts w:ascii="Arial" w:cs="Arial" w:eastAsia="Arial" w:hAnsi="Arial"/>
                <w:sz w:val="11"/>
                <w:szCs w:val="11"/>
                <w:color w:val="auto"/>
              </w:rPr>
              <w:t>Cash dividends on common stock ($0.37 per share)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(23,245)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(23,245)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(287,431)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(11,973)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(12,009)</w:t>
            </w:r>
          </w:p>
        </w:tc>
        <w:tc>
          <w:tcPr>
            <w:tcW w:w="0" w:type="dxa"/>
            <w:vAlign w:val="bottom"/>
          </w:tcPr>
          <w:p>
            <w:pPr>
              <w:spacing w:after="0"/>
              <w:rPr>
                <w:sz w:val="1"/>
                <w:szCs w:val="1"/>
                <w:color w:val="auto"/>
              </w:rPr>
            </w:pPr>
          </w:p>
        </w:tc>
      </w:tr>
      <w:tr>
        <w:trPr>
          <w:trHeight w:val="142"/>
        </w:trPr>
        <w:tc>
          <w:tcPr>
            <w:tcW w:w="2980" w:type="dxa"/>
            <w:vAlign w:val="bottom"/>
          </w:tcPr>
          <w:p>
            <w:pPr>
              <w:ind w:left="220"/>
              <w:spacing w:after="0"/>
              <w:rPr>
                <w:sz w:val="20"/>
                <w:szCs w:val="20"/>
                <w:color w:val="auto"/>
              </w:rPr>
            </w:pPr>
            <w:r>
              <w:rPr>
                <w:rFonts w:ascii="Arial" w:cs="Arial" w:eastAsia="Arial" w:hAnsi="Arial"/>
                <w:sz w:val="11"/>
                <w:szCs w:val="11"/>
                <w:color w:val="auto"/>
              </w:rPr>
              <w:t>Excise tax on stock repurchases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Share-based compensation</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312,484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1,947</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1,964</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80" w:type="dxa"/>
            <w:vAlign w:val="bottom"/>
          </w:tcPr>
          <w:p>
            <w:pPr>
              <w:ind w:left="220"/>
              <w:spacing w:after="0"/>
              <w:rPr>
                <w:sz w:val="20"/>
                <w:szCs w:val="20"/>
                <w:color w:val="auto"/>
              </w:rPr>
            </w:pPr>
            <w:r>
              <w:rPr>
                <w:rFonts w:ascii="Arial" w:cs="Arial" w:eastAsia="Arial" w:hAnsi="Arial"/>
                <w:sz w:val="11"/>
                <w:szCs w:val="11"/>
                <w:color w:val="auto"/>
              </w:rPr>
              <w:t>Stock issued under employee benefit plans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980" w:type="dxa"/>
            <w:vAlign w:val="bottom"/>
            <w:shd w:val="clear" w:color="auto" w:fill="CCEEFF"/>
          </w:tcPr>
          <w:p>
            <w:pPr>
              <w:ind w:left="220"/>
              <w:spacing w:after="0" w:line="119" w:lineRule="exact"/>
              <w:rPr>
                <w:sz w:val="20"/>
                <w:szCs w:val="20"/>
                <w:color w:val="auto"/>
              </w:rPr>
            </w:pPr>
            <w:r>
              <w:rPr>
                <w:rFonts w:ascii="Arial" w:cs="Arial" w:eastAsia="Arial" w:hAnsi="Arial"/>
                <w:sz w:val="11"/>
                <w:szCs w:val="11"/>
                <w:color w:val="auto"/>
              </w:rPr>
              <w:t>Stock issued under dividend reinvestment and stock</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14,485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613</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purchase plan</w:t>
            </w: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Shares withheld on equity award settlements</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(40,460)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(1,740)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(1,745)</w:t>
            </w:r>
          </w:p>
        </w:tc>
        <w:tc>
          <w:tcPr>
            <w:tcW w:w="0" w:type="dxa"/>
            <w:vAlign w:val="bottom"/>
          </w:tcPr>
          <w:p>
            <w:pPr>
              <w:spacing w:after="0"/>
              <w:rPr>
                <w:sz w:val="1"/>
                <w:szCs w:val="1"/>
                <w:color w:val="auto"/>
              </w:rPr>
            </w:pPr>
          </w:p>
        </w:tc>
      </w:tr>
      <w:tr>
        <w:trPr>
          <w:trHeight w:val="182"/>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September 30, 2026</w:t>
            </w: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25,000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62,210,134</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7,754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1,347,943</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1,483,496</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(227,937)</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2,636,381</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29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ind w:left="200"/>
              <w:spacing w:after="0"/>
              <w:rPr>
                <w:sz w:val="20"/>
                <w:szCs w:val="20"/>
                <w:color w:val="auto"/>
              </w:rPr>
            </w:pPr>
            <w:r>
              <w:rPr>
                <w:rFonts w:ascii="Arial" w:cs="Arial" w:eastAsia="Arial" w:hAnsi="Arial"/>
                <w:sz w:val="11"/>
                <w:szCs w:val="11"/>
                <w:b w:val="1"/>
                <w:bCs w:val="1"/>
                <w:color w:val="auto"/>
              </w:rPr>
              <w:t>Three Months Ended September 30,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1440" w:type="dxa"/>
            <w:vAlign w:val="bottom"/>
            <w:gridSpan w:val="6"/>
          </w:tcPr>
          <w:p>
            <w:pPr>
              <w:ind w:left="120"/>
              <w:spacing w:after="0" w:line="109" w:lineRule="exact"/>
              <w:rPr>
                <w:sz w:val="20"/>
                <w:szCs w:val="20"/>
                <w:color w:val="auto"/>
              </w:rPr>
            </w:pPr>
            <w:r>
              <w:rPr>
                <w:rFonts w:ascii="Arial" w:cs="Arial" w:eastAsia="Arial" w:hAnsi="Arial"/>
                <w:sz w:val="11"/>
                <w:szCs w:val="11"/>
                <w:b w:val="1"/>
                <w:bCs w:val="1"/>
                <w:color w:val="auto"/>
              </w:rPr>
              <w:t>Cumulative Preferred</w:t>
            </w:r>
          </w:p>
        </w:tc>
        <w:tc>
          <w:tcPr>
            <w:tcW w:w="1420" w:type="dxa"/>
            <w:vAlign w:val="bottom"/>
            <w:gridSpan w:val="8"/>
          </w:tcPr>
          <w:p>
            <w:pPr>
              <w:ind w:left="240"/>
              <w:spacing w:after="0" w:line="109" w:lineRule="exact"/>
              <w:rPr>
                <w:sz w:val="20"/>
                <w:szCs w:val="20"/>
                <w:color w:val="auto"/>
              </w:rPr>
            </w:pPr>
            <w:r>
              <w:rPr>
                <w:rFonts w:ascii="Arial" w:cs="Arial" w:eastAsia="Arial" w:hAnsi="Arial"/>
                <w:sz w:val="11"/>
                <w:szCs w:val="11"/>
                <w:b w:val="1"/>
                <w:bCs w:val="1"/>
                <w:color w:val="auto"/>
              </w:rPr>
              <w:t>Non-Cumulative</w:t>
            </w:r>
          </w:p>
        </w:tc>
        <w:tc>
          <w:tcPr>
            <w:tcW w:w="1480" w:type="dxa"/>
            <w:vAlign w:val="bottom"/>
            <w:gridSpan w:val="6"/>
            <w:vMerge w:val="restart"/>
          </w:tcPr>
          <w:p>
            <w:pPr>
              <w:jc w:val="right"/>
              <w:ind w:right="30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gridSpan w:val="2"/>
            <w:vMerge w:val="restart"/>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40"/>
              <w:spacing w:after="0" w:line="109" w:lineRule="exact"/>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820" w:type="dxa"/>
            <w:vAlign w:val="bottom"/>
            <w:tcBorders>
              <w:bottom w:val="single" w:sz="8" w:color="auto"/>
            </w:tcBorders>
            <w:gridSpan w:val="3"/>
          </w:tcPr>
          <w:p>
            <w:pPr>
              <w:ind w:left="520"/>
              <w:spacing w:after="0"/>
              <w:rPr>
                <w:sz w:val="20"/>
                <w:szCs w:val="20"/>
                <w:color w:val="auto"/>
              </w:rPr>
            </w:pPr>
            <w:r>
              <w:rPr>
                <w:rFonts w:ascii="Arial" w:cs="Arial" w:eastAsia="Arial" w:hAnsi="Arial"/>
                <w:sz w:val="11"/>
                <w:szCs w:val="11"/>
                <w:b w:val="1"/>
                <w:bCs w:val="1"/>
                <w:color w:val="auto"/>
                <w:w w:val="93"/>
              </w:rPr>
              <w:t>Stock</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ind w:left="240"/>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6"/>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980" w:type="dxa"/>
            <w:vAlign w:val="bottom"/>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0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right"/>
              <w:ind w:right="24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Total</w:t>
            </w: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9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gridSpan w:val="2"/>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Capital</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Earnings</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Loss</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June 30, 2025</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25,000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57,272,433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7,159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1,163,170</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1,342,473</w:t>
            </w:r>
          </w:p>
        </w:tc>
        <w:tc>
          <w:tcPr>
            <w:tcW w:w="2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(189,975)</w:t>
            </w:r>
          </w:p>
        </w:tc>
        <w:tc>
          <w:tcPr>
            <w:tcW w:w="2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2,347,952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ind w:left="220"/>
              <w:spacing w:after="0"/>
              <w:rPr>
                <w:sz w:val="20"/>
                <w:szCs w:val="20"/>
                <w:color w:val="auto"/>
              </w:rPr>
            </w:pPr>
            <w:r>
              <w:rPr>
                <w:rFonts w:ascii="Arial" w:cs="Arial" w:eastAsia="Arial" w:hAnsi="Arial"/>
                <w:sz w:val="11"/>
                <w:szCs w:val="11"/>
                <w:color w:val="auto"/>
              </w:rPr>
              <w:t>Comprehensive income: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Net income</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56,765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56,765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80" w:type="dxa"/>
            <w:vAlign w:val="bottom"/>
          </w:tcPr>
          <w:p>
            <w:pPr>
              <w:ind w:left="480"/>
              <w:spacing w:after="0"/>
              <w:rPr>
                <w:sz w:val="20"/>
                <w:szCs w:val="20"/>
                <w:color w:val="auto"/>
              </w:rPr>
            </w:pPr>
            <w:r>
              <w:rPr>
                <w:rFonts w:ascii="Arial" w:cs="Arial" w:eastAsia="Arial" w:hAnsi="Arial"/>
                <w:sz w:val="11"/>
                <w:szCs w:val="11"/>
                <w:color w:val="auto"/>
              </w:rPr>
              <w:t>Other comprehensive income, net of tax</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34,111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34,111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dividends on preferred stock ($46.88 per share)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ind w:left="220"/>
              <w:spacing w:after="0"/>
              <w:rPr>
                <w:sz w:val="20"/>
                <w:szCs w:val="20"/>
                <w:color w:val="auto"/>
              </w:rPr>
            </w:pPr>
            <w:r>
              <w:rPr>
                <w:rFonts w:ascii="Arial" w:cs="Arial" w:eastAsia="Arial" w:hAnsi="Arial"/>
                <w:sz w:val="11"/>
                <w:szCs w:val="11"/>
                <w:color w:val="auto"/>
              </w:rPr>
              <w:t>Cash dividends on common stock ($0.36 per share)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(20,804)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(20,804)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Repurchases of common stock</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(162,474)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(6,456)</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ind w:left="220"/>
              <w:spacing w:after="0"/>
              <w:rPr>
                <w:sz w:val="20"/>
                <w:szCs w:val="20"/>
                <w:color w:val="auto"/>
              </w:rPr>
            </w:pPr>
            <w:r>
              <w:rPr>
                <w:rFonts w:ascii="Arial" w:cs="Arial" w:eastAsia="Arial" w:hAnsi="Arial"/>
                <w:sz w:val="11"/>
                <w:szCs w:val="11"/>
                <w:color w:val="auto"/>
              </w:rPr>
              <w:t>Excise tax on stock repurchases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Share-based compensation</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91,857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980" w:type="dxa"/>
            <w:vAlign w:val="bottom"/>
          </w:tcPr>
          <w:p>
            <w:pPr>
              <w:ind w:left="220"/>
              <w:spacing w:after="0"/>
              <w:rPr>
                <w:sz w:val="20"/>
                <w:szCs w:val="20"/>
                <w:color w:val="auto"/>
              </w:rPr>
            </w:pPr>
            <w:r>
              <w:rPr>
                <w:rFonts w:ascii="Arial" w:cs="Arial" w:eastAsia="Arial" w:hAnsi="Arial"/>
                <w:sz w:val="11"/>
                <w:szCs w:val="11"/>
                <w:color w:val="auto"/>
              </w:rPr>
              <w:t>Stock issued under employee benefit plans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4,802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980" w:type="dxa"/>
            <w:vAlign w:val="bottom"/>
            <w:shd w:val="clear" w:color="auto" w:fill="CCEEFF"/>
          </w:tcPr>
          <w:p>
            <w:pPr>
              <w:ind w:left="220"/>
              <w:spacing w:after="0" w:line="119" w:lineRule="exact"/>
              <w:rPr>
                <w:sz w:val="20"/>
                <w:szCs w:val="20"/>
                <w:color w:val="auto"/>
              </w:rPr>
            </w:pPr>
            <w:r>
              <w:rPr>
                <w:rFonts w:ascii="Arial" w:cs="Arial" w:eastAsia="Arial" w:hAnsi="Arial"/>
                <w:sz w:val="11"/>
                <w:szCs w:val="11"/>
                <w:color w:val="auto"/>
              </w:rPr>
              <w:t>Stock issued under dividend reinvestment and</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14,881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595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stock purchase plan</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vMerge w:val="continue"/>
            <w:shd w:val="clear" w:color="auto" w:fill="CCEEFF"/>
          </w:tcPr>
          <w:p>
            <w:pPr>
              <w:spacing w:after="0"/>
              <w:rPr>
                <w:sz w:val="12"/>
                <w:szCs w:val="12"/>
                <w:color w:val="auto"/>
              </w:rPr>
            </w:pPr>
          </w:p>
        </w:tc>
        <w:tc>
          <w:tcPr>
            <w:tcW w:w="700" w:type="dxa"/>
            <w:vAlign w:val="bottom"/>
            <w:tcBorders>
              <w:bottom w:val="single" w:sz="8" w:color="CCEEFF"/>
            </w:tcBorders>
            <w:gridSpan w:val="4"/>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3"/>
            <w:vMerge w:val="continue"/>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ind w:left="220"/>
              <w:spacing w:after="0"/>
              <w:rPr>
                <w:sz w:val="20"/>
                <w:szCs w:val="20"/>
                <w:color w:val="auto"/>
              </w:rPr>
            </w:pPr>
            <w:r>
              <w:rPr>
                <w:rFonts w:ascii="Arial" w:cs="Arial" w:eastAsia="Arial" w:hAnsi="Arial"/>
                <w:sz w:val="11"/>
                <w:szCs w:val="11"/>
                <w:color w:val="auto"/>
              </w:rPr>
              <w:t>Stock options exercised</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4,762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Shares withheld on equity award settlements</w:t>
            </w: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(33,764)</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(1,249)</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0"/>
              <w:spacing w:after="0"/>
              <w:rPr>
                <w:sz w:val="20"/>
                <w:szCs w:val="20"/>
                <w:color w:val="auto"/>
              </w:rPr>
            </w:pPr>
            <w:r>
              <w:rPr>
                <w:rFonts w:ascii="Arial" w:cs="Arial" w:eastAsia="Arial" w:hAnsi="Arial"/>
                <w:sz w:val="11"/>
                <w:szCs w:val="11"/>
                <w:b w:val="1"/>
                <w:bCs w:val="1"/>
                <w:color w:val="auto"/>
              </w:rPr>
              <w:t>Balances, September 30, 2025</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57,192,497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7,149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1,158,026</w:t>
            </w:r>
          </w:p>
        </w:tc>
        <w:tc>
          <w:tcPr>
            <w:tcW w:w="4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1,377,966</w:t>
            </w:r>
          </w:p>
        </w:tc>
        <w:tc>
          <w:tcPr>
            <w:tcW w:w="20" w:type="dxa"/>
            <w:vAlign w:val="bottom"/>
          </w:tcPr>
          <w:p>
            <w:pPr>
              <w:spacing w:after="0"/>
              <w:rPr>
                <w:sz w:val="14"/>
                <w:szCs w:val="14"/>
                <w:color w:val="auto"/>
              </w:rPr>
            </w:pPr>
          </w:p>
        </w:tc>
        <w:tc>
          <w:tcPr>
            <w:tcW w:w="22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(155,864)</w:t>
            </w:r>
          </w:p>
        </w:tc>
        <w:tc>
          <w:tcPr>
            <w:tcW w:w="20" w:type="dxa"/>
            <w:vAlign w:val="bottom"/>
          </w:tcPr>
          <w:p>
            <w:pPr>
              <w:spacing w:after="0"/>
              <w:rPr>
                <w:sz w:val="14"/>
                <w:szCs w:val="14"/>
                <w:color w:val="auto"/>
              </w:rPr>
            </w:pPr>
          </w:p>
        </w:tc>
        <w:tc>
          <w:tcPr>
            <w:tcW w:w="300" w:type="dxa"/>
            <w:vAlign w:val="bottom"/>
            <w:gridSpan w:val="3"/>
          </w:tcPr>
          <w:p>
            <w:pPr>
              <w:jc w:val="right"/>
              <w:ind w:right="8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2,412,402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1. CONSOLIDATED CONDENSED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1"/>
                <w:szCs w:val="11"/>
                <w:b w:val="1"/>
                <w:bCs w:val="1"/>
                <w:color w:val="auto"/>
              </w:rPr>
              <w:t>Nine Months Ended September 30, 2026</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9"/>
          </w:tcPr>
          <w:p>
            <w:pPr>
              <w:ind w:left="100"/>
              <w:spacing w:after="0" w:line="109" w:lineRule="exact"/>
              <w:rPr>
                <w:sz w:val="20"/>
                <w:szCs w:val="20"/>
                <w:color w:val="auto"/>
              </w:rPr>
            </w:pPr>
            <w:r>
              <w:rPr>
                <w:rFonts w:ascii="Arial" w:cs="Arial" w:eastAsia="Arial" w:hAnsi="Arial"/>
                <w:sz w:val="11"/>
                <w:szCs w:val="11"/>
                <w:b w:val="1"/>
                <w:bCs w:val="1"/>
                <w:color w:val="auto"/>
              </w:rPr>
              <w:t>Cumulative Preferred</w:t>
            </w:r>
          </w:p>
        </w:tc>
        <w:tc>
          <w:tcPr>
            <w:tcW w:w="1420" w:type="dxa"/>
            <w:vAlign w:val="bottom"/>
            <w:gridSpan w:val="9"/>
          </w:tcPr>
          <w:p>
            <w:pPr>
              <w:ind w:left="240"/>
              <w:spacing w:after="0" w:line="109" w:lineRule="exact"/>
              <w:rPr>
                <w:sz w:val="20"/>
                <w:szCs w:val="20"/>
                <w:color w:val="auto"/>
              </w:rPr>
            </w:pPr>
            <w:r>
              <w:rPr>
                <w:rFonts w:ascii="Arial" w:cs="Arial" w:eastAsia="Arial" w:hAnsi="Arial"/>
                <w:sz w:val="11"/>
                <w:szCs w:val="11"/>
                <w:b w:val="1"/>
                <w:bCs w:val="1"/>
                <w:color w:val="auto"/>
              </w:rPr>
              <w:t>Non-Cumulative</w:t>
            </w:r>
          </w:p>
        </w:tc>
        <w:tc>
          <w:tcPr>
            <w:tcW w:w="1500" w:type="dxa"/>
            <w:vAlign w:val="bottom"/>
            <w:gridSpan w:val="7"/>
            <w:vMerge w:val="restart"/>
          </w:tcPr>
          <w:p>
            <w:pPr>
              <w:ind w:left="3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98"/>
              </w:rPr>
              <w:t>Accumulated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bottom w:val="single" w:sz="8" w:color="auto"/>
            </w:tcBorders>
            <w:gridSpan w:val="7"/>
          </w:tcPr>
          <w:p>
            <w:pPr>
              <w:ind w:left="500"/>
              <w:spacing w:after="0"/>
              <w:rPr>
                <w:sz w:val="20"/>
                <w:szCs w:val="20"/>
                <w:color w:val="auto"/>
              </w:rPr>
            </w:pPr>
            <w:r>
              <w:rPr>
                <w:rFonts w:ascii="Arial" w:cs="Arial" w:eastAsia="Arial" w:hAnsi="Arial"/>
                <w:sz w:val="11"/>
                <w:szCs w:val="11"/>
                <w:b w:val="1"/>
                <w:bCs w:val="1"/>
                <w:color w:val="auto"/>
              </w:rPr>
              <w:t>Stock</w:t>
            </w:r>
          </w:p>
        </w:tc>
        <w:tc>
          <w:tcPr>
            <w:tcW w:w="100" w:type="dxa"/>
            <w:vAlign w:val="bottom"/>
            <w:gridSpan w:val="2"/>
          </w:tcPr>
          <w:p>
            <w:pPr>
              <w:spacing w:after="0"/>
              <w:rPr>
                <w:sz w:val="13"/>
                <w:szCs w:val="13"/>
                <w:color w:val="auto"/>
              </w:rPr>
            </w:pPr>
          </w:p>
        </w:tc>
        <w:tc>
          <w:tcPr>
            <w:tcW w:w="1340" w:type="dxa"/>
            <w:vAlign w:val="bottom"/>
            <w:tcBorders>
              <w:bottom w:val="single" w:sz="8" w:color="auto"/>
            </w:tcBorders>
            <w:gridSpan w:val="7"/>
          </w:tcPr>
          <w:p>
            <w:pPr>
              <w:ind w:left="260"/>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gridSpan w:val="2"/>
          </w:tcPr>
          <w:p>
            <w:pPr>
              <w:spacing w:after="0"/>
              <w:rPr>
                <w:sz w:val="13"/>
                <w:szCs w:val="13"/>
                <w:color w:val="auto"/>
              </w:rPr>
            </w:pPr>
          </w:p>
        </w:tc>
        <w:tc>
          <w:tcPr>
            <w:tcW w:w="1500" w:type="dxa"/>
            <w:vAlign w:val="bottom"/>
            <w:tcBorders>
              <w:bottom w:val="single" w:sz="8" w:color="auto"/>
            </w:tcBorders>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00" w:type="dxa"/>
            <w:vAlign w:val="bottom"/>
            <w:gridSpan w:val="2"/>
            <w:vMerge w:val="restart"/>
          </w:tcPr>
          <w:p>
            <w:pPr>
              <w:spacing w:after="0"/>
              <w:rPr>
                <w:sz w:val="8"/>
                <w:szCs w:val="8"/>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gridSpan w:val="2"/>
            <w:vMerge w:val="restart"/>
          </w:tcPr>
          <w:p>
            <w:pPr>
              <w:spacing w:after="0"/>
              <w:rPr>
                <w:sz w:val="8"/>
                <w:szCs w:val="8"/>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right"/>
              <w:ind w:right="22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Retained</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rPr>
              <w:t>Comprehensive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gridSpan w:val="2"/>
            <w:vMerge w:val="continue"/>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3"/>
              </w:rPr>
              <w:t>Loss</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Balances, December 31, 2025</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56,951,939</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7,119</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1,150,816</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1,413,742</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(130,135)</w:t>
            </w:r>
          </w:p>
        </w:tc>
        <w:tc>
          <w:tcPr>
            <w:tcW w:w="280" w:type="dxa"/>
            <w:vAlign w:val="bottom"/>
            <w:gridSpan w:val="3"/>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2,466,667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Comprehensive income:</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Net income</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140,451</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140,451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tcPr>
          <w:p>
            <w:pPr>
              <w:ind w:left="460"/>
              <w:spacing w:after="0"/>
              <w:rPr>
                <w:sz w:val="20"/>
                <w:szCs w:val="20"/>
                <w:color w:val="auto"/>
              </w:rPr>
            </w:pPr>
            <w:r>
              <w:rPr>
                <w:rFonts w:ascii="Arial" w:cs="Arial" w:eastAsia="Arial" w:hAnsi="Arial"/>
                <w:sz w:val="11"/>
                <w:szCs w:val="11"/>
                <w:color w:val="auto"/>
              </w:rPr>
              <w:t>Other comprehensive loss, net of tax</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1"/>
                <w:szCs w:val="11"/>
                <w:color w:val="auto"/>
              </w:rPr>
              <w:t>(97,802)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Cash dividends on preferred stock ($140.64 per share)</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(1,406)</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Cash dividends on common stock ($1.10 per share)</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(69,291)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Issuance of stock related to acquisition</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6,117,038</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765</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242,449</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243,214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Repurchases of common stock</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(1,264,062)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auto"/>
              </w:rPr>
              <w:t>(50,140)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Excise tax on stock repurchases</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(423)</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Share-based compensation</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396,002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5,471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5,498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Stock issued under employee benefit plans</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15,572</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536</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gridSpan w:val="2"/>
          </w:tcPr>
          <w:p>
            <w:pPr>
              <w:ind w:left="200"/>
              <w:spacing w:after="0" w:line="109" w:lineRule="exact"/>
              <w:rPr>
                <w:sz w:val="20"/>
                <w:szCs w:val="20"/>
                <w:color w:val="auto"/>
              </w:rPr>
            </w:pPr>
            <w:r>
              <w:rPr>
                <w:rFonts w:ascii="Arial" w:cs="Arial" w:eastAsia="Arial" w:hAnsi="Arial"/>
                <w:sz w:val="11"/>
                <w:szCs w:val="11"/>
                <w:color w:val="auto"/>
              </w:rPr>
              <w:t>Stock issued under dividend reinvestment and</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4"/>
            <w:vMerge w:val="restart"/>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4"/>
            <w:vMerge w:val="restart"/>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44,499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1,779</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1,785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stock purchase plan</w:t>
            </w: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Stock options exercised</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19,524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464</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Borders>
              <w:bottom w:val="single" w:sz="8" w:color="CCEEFF"/>
            </w:tcBorders>
            <w:gridSpan w:val="2"/>
          </w:tcPr>
          <w:p>
            <w:pPr>
              <w:ind w:left="200"/>
              <w:spacing w:after="0"/>
              <w:rPr>
                <w:sz w:val="20"/>
                <w:szCs w:val="20"/>
                <w:color w:val="auto"/>
              </w:rPr>
            </w:pPr>
            <w:r>
              <w:rPr>
                <w:rFonts w:ascii="Arial" w:cs="Arial" w:eastAsia="Arial" w:hAnsi="Arial"/>
                <w:sz w:val="11"/>
                <w:szCs w:val="11"/>
                <w:color w:val="auto"/>
              </w:rPr>
              <w:t>Shares withheld on equity award settlements</w:t>
            </w: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tcPr>
          <w:p>
            <w:pPr>
              <w:spacing w:after="0"/>
              <w:rPr>
                <w:sz w:val="13"/>
                <w:szCs w:val="13"/>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gridSpan w:val="2"/>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(70,378)</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(3,009)</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Balances, September 30, 2026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25,000</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62,210,134</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7,754</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1,347,943</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1,483,496</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(227,937)</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2,636,381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1"/>
                <w:szCs w:val="11"/>
                <w:b w:val="1"/>
                <w:bCs w:val="1"/>
                <w:color w:val="auto"/>
              </w:rPr>
              <w:t>Nine Months Ended September 30, 2025</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9"/>
          </w:tcPr>
          <w:p>
            <w:pPr>
              <w:ind w:left="80"/>
              <w:spacing w:after="0" w:line="109" w:lineRule="exact"/>
              <w:rPr>
                <w:sz w:val="20"/>
                <w:szCs w:val="20"/>
                <w:color w:val="auto"/>
              </w:rPr>
            </w:pPr>
            <w:r>
              <w:rPr>
                <w:rFonts w:ascii="Arial" w:cs="Arial" w:eastAsia="Arial" w:hAnsi="Arial"/>
                <w:sz w:val="11"/>
                <w:szCs w:val="11"/>
                <w:b w:val="1"/>
                <w:bCs w:val="1"/>
                <w:color w:val="auto"/>
              </w:rPr>
              <w:t>Cumulative Preferred</w:t>
            </w:r>
          </w:p>
        </w:tc>
        <w:tc>
          <w:tcPr>
            <w:tcW w:w="1420" w:type="dxa"/>
            <w:vAlign w:val="bottom"/>
            <w:gridSpan w:val="9"/>
          </w:tcPr>
          <w:p>
            <w:pPr>
              <w:ind w:left="220"/>
              <w:spacing w:after="0" w:line="109" w:lineRule="exact"/>
              <w:rPr>
                <w:sz w:val="20"/>
                <w:szCs w:val="20"/>
                <w:color w:val="auto"/>
              </w:rPr>
            </w:pPr>
            <w:r>
              <w:rPr>
                <w:rFonts w:ascii="Arial" w:cs="Arial" w:eastAsia="Arial" w:hAnsi="Arial"/>
                <w:sz w:val="11"/>
                <w:szCs w:val="11"/>
                <w:b w:val="1"/>
                <w:bCs w:val="1"/>
                <w:color w:val="auto"/>
              </w:rPr>
              <w:t>Non-Cumulative</w:t>
            </w:r>
          </w:p>
        </w:tc>
        <w:tc>
          <w:tcPr>
            <w:tcW w:w="1460" w:type="dxa"/>
            <w:vAlign w:val="bottom"/>
            <w:gridSpan w:val="6"/>
            <w:vMerge w:val="restart"/>
          </w:tcPr>
          <w:p>
            <w:pPr>
              <w:jc w:val="right"/>
              <w:ind w:right="286"/>
              <w:spacing w:after="0"/>
              <w:rPr>
                <w:sz w:val="20"/>
                <w:szCs w:val="20"/>
                <w:color w:val="auto"/>
              </w:rPr>
            </w:pPr>
            <w:r>
              <w:rPr>
                <w:rFonts w:ascii="Arial" w:cs="Arial" w:eastAsia="Arial" w:hAnsi="Arial"/>
                <w:sz w:val="11"/>
                <w:szCs w:val="11"/>
                <w:b w:val="1"/>
                <w:bCs w:val="1"/>
                <w:color w:val="auto"/>
              </w:rPr>
              <w:t>Common Stock</w:t>
            </w:r>
          </w:p>
        </w:tc>
        <w:tc>
          <w:tcPr>
            <w:tcW w:w="4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8"/>
              </w:rPr>
              <w:t>Accumulated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jc w:val="right"/>
              <w:ind w:right="466"/>
              <w:spacing w:after="0"/>
              <w:rPr>
                <w:sz w:val="20"/>
                <w:szCs w:val="20"/>
                <w:color w:val="auto"/>
              </w:rPr>
            </w:pPr>
            <w:r>
              <w:rPr>
                <w:rFonts w:ascii="Arial" w:cs="Arial" w:eastAsia="Arial" w:hAnsi="Arial"/>
                <w:sz w:val="11"/>
                <w:szCs w:val="11"/>
                <w:b w:val="1"/>
                <w:bCs w:val="1"/>
                <w:color w:val="auto"/>
              </w:rPr>
              <w:t>Stock</w:t>
            </w:r>
          </w:p>
        </w:tc>
        <w:tc>
          <w:tcPr>
            <w:tcW w:w="8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6"/>
          </w:tcPr>
          <w:p>
            <w:pPr>
              <w:ind w:left="22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Shares</w:t>
            </w:r>
          </w:p>
        </w:tc>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gridSpan w:val="2"/>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7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right"/>
              <w:ind w:right="24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Retained</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Comprehensive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gridSpan w:val="2"/>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Capital</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Earnings</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rPr>
              <w:t>Loss</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Balances, December 31, 2024</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25,000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57,974,535</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7,247</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1,188,768</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1"/>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1,272,528</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(188,685)</w:t>
            </w:r>
          </w:p>
        </w:tc>
        <w:tc>
          <w:tcPr>
            <w:tcW w:w="4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2,304,983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Comprehensive income:</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9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1"/>
                <w:szCs w:val="11"/>
                <w:color w:val="auto"/>
              </w:rPr>
              <w:t>Net income</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168,936</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168,936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tcPr>
          <w:p>
            <w:pPr>
              <w:ind w:left="440"/>
              <w:spacing w:after="0"/>
              <w:rPr>
                <w:sz w:val="20"/>
                <w:szCs w:val="20"/>
                <w:color w:val="auto"/>
              </w:rPr>
            </w:pPr>
            <w:r>
              <w:rPr>
                <w:rFonts w:ascii="Arial" w:cs="Arial" w:eastAsia="Arial" w:hAnsi="Arial"/>
                <w:sz w:val="11"/>
                <w:szCs w:val="11"/>
                <w:color w:val="auto"/>
              </w:rPr>
              <w:t>Other comprehensive income, net of tax</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32,821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32,821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Cash dividends on preferred stock ($140.64 per share)</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(1,406)</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(1,406)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Cash dividends on common stock ($1.07 per share)</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(62,092)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(62,092)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Repurchases of common stock</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(939,271)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(36,359)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Excise tax on stock repurchases</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2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Share-based compensation</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122,365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4,902</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4,916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Stock issued under employee benefit plans</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14,117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478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480</w:t>
            </w: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2980" w:type="dxa"/>
            <w:vAlign w:val="bottom"/>
            <w:gridSpan w:val="2"/>
            <w:shd w:val="clear" w:color="auto" w:fill="CCEEFF"/>
          </w:tcPr>
          <w:p>
            <w:pPr>
              <w:ind w:left="200"/>
              <w:spacing w:after="0" w:line="119" w:lineRule="exact"/>
              <w:rPr>
                <w:sz w:val="20"/>
                <w:szCs w:val="20"/>
                <w:color w:val="auto"/>
              </w:rPr>
            </w:pPr>
            <w:r>
              <w:rPr>
                <w:rFonts w:ascii="Arial" w:cs="Arial" w:eastAsia="Arial" w:hAnsi="Arial"/>
                <w:sz w:val="11"/>
                <w:szCs w:val="11"/>
                <w:color w:val="auto"/>
              </w:rPr>
              <w:t>Stock issued under dividend reinvestment and</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44,748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1,731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1,737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stock purchase plan</w:t>
            </w: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4"/>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4"/>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80" w:type="dxa"/>
            <w:vAlign w:val="bottom"/>
            <w:gridSpan w:val="2"/>
          </w:tcPr>
          <w:p>
            <w:pPr>
              <w:ind w:left="200"/>
              <w:spacing w:after="0"/>
              <w:rPr>
                <w:sz w:val="20"/>
                <w:szCs w:val="20"/>
                <w:color w:val="auto"/>
              </w:rPr>
            </w:pPr>
            <w:r>
              <w:rPr>
                <w:rFonts w:ascii="Arial" w:cs="Arial" w:eastAsia="Arial" w:hAnsi="Arial"/>
                <w:sz w:val="11"/>
                <w:szCs w:val="11"/>
                <w:color w:val="auto"/>
              </w:rPr>
              <w:t>Stock options exercised</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16,705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328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65"/>
        </w:trPr>
        <w:tc>
          <w:tcPr>
            <w:tcW w:w="20" w:type="dxa"/>
            <w:vAlign w:val="bottom"/>
            <w:tcBorders>
              <w:bottom w:val="single" w:sz="8" w:color="CCEEFF"/>
            </w:tcBorders>
            <w:shd w:val="clear" w:color="auto" w:fill="CCEEFF"/>
          </w:tcPr>
          <w:p>
            <w:pPr>
              <w:spacing w:after="0"/>
              <w:rPr>
                <w:sz w:val="14"/>
                <w:szCs w:val="14"/>
                <w:color w:val="auto"/>
              </w:rPr>
            </w:pPr>
          </w:p>
        </w:tc>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Shares withheld on equity award settlements</w:t>
            </w:r>
          </w:p>
        </w:tc>
        <w:tc>
          <w:tcPr>
            <w:tcW w:w="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gridSpan w:val="2"/>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(40,702)</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(1,497)</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1"/>
                <w:szCs w:val="11"/>
                <w:b w:val="1"/>
                <w:bCs w:val="1"/>
                <w:color w:val="auto"/>
              </w:rPr>
              <w:t>Balances, September 30, 2025</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2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10,000</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25,000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57,192,497</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7,149</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1,158,026</w:t>
            </w:r>
          </w:p>
        </w:tc>
        <w:tc>
          <w:tcPr>
            <w:tcW w:w="40" w:type="dxa"/>
            <w:vAlign w:val="bottom"/>
          </w:tcPr>
          <w:p>
            <w:pPr>
              <w:spacing w:after="0"/>
              <w:rPr>
                <w:sz w:val="14"/>
                <w:szCs w:val="14"/>
                <w:color w:val="auto"/>
              </w:rPr>
            </w:pPr>
          </w:p>
        </w:tc>
        <w:tc>
          <w:tcPr>
            <w:tcW w:w="200" w:type="dxa"/>
            <w:vAlign w:val="bottom"/>
            <w:gridSpan w:val="3"/>
          </w:tcPr>
          <w:p>
            <w:pPr>
              <w:jc w:val="right"/>
              <w:ind w:right="11"/>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1,377,966</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(155,864)</w:t>
            </w:r>
          </w:p>
        </w:tc>
        <w:tc>
          <w:tcPr>
            <w:tcW w:w="40" w:type="dxa"/>
            <w:vAlign w:val="bottom"/>
          </w:tcPr>
          <w:p>
            <w:pPr>
              <w:spacing w:after="0"/>
              <w:rPr>
                <w:sz w:val="14"/>
                <w:szCs w:val="14"/>
                <w:color w:val="auto"/>
              </w:rPr>
            </w:pPr>
          </w:p>
        </w:tc>
        <w:tc>
          <w:tcPr>
            <w:tcW w:w="280" w:type="dxa"/>
            <w:vAlign w:val="bottom"/>
            <w:gridSpan w:val="3"/>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2,412,402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See NOTES TO CONSOLIDATED CONDENSED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1. CONSOLIDATED CONDENSED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CONDENSED STATEMENTS OF CASH FLOWS </w:t>
      </w:r>
      <w:r>
        <w:rPr>
          <w:rFonts w:ascii="Arial" w:cs="Arial" w:eastAsia="Arial" w:hAnsi="Arial"/>
          <w:sz w:val="14"/>
          <w:szCs w:val="14"/>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60" w:type="dxa"/>
            <w:vAlign w:val="bottom"/>
          </w:tcPr>
          <w:p>
            <w:pPr>
              <w:spacing w:after="0"/>
              <w:rPr>
                <w:sz w:val="12"/>
                <w:szCs w:val="12"/>
                <w:color w:val="auto"/>
              </w:rPr>
            </w:pPr>
          </w:p>
        </w:tc>
        <w:tc>
          <w:tcPr>
            <w:tcW w:w="258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rPr>
              <w:t>Nine Months Ended September 30,</w:t>
            </w:r>
          </w:p>
        </w:tc>
        <w:tc>
          <w:tcPr>
            <w:tcW w:w="580" w:type="dxa"/>
            <w:vAlign w:val="bottom"/>
          </w:tcPr>
          <w:p>
            <w:pPr>
              <w:spacing w:after="0"/>
              <w:rPr>
                <w:sz w:val="12"/>
                <w:szCs w:val="12"/>
                <w:color w:val="auto"/>
              </w:rPr>
            </w:pPr>
          </w:p>
        </w:tc>
      </w:tr>
      <w:tr>
        <w:trPr>
          <w:trHeight w:val="170"/>
        </w:trPr>
        <w:tc>
          <w:tcPr>
            <w:tcW w:w="80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4"/>
                <w:szCs w:val="14"/>
                <w:color w:val="auto"/>
              </w:rPr>
            </w:pPr>
          </w:p>
        </w:tc>
      </w:tr>
      <w:tr>
        <w:trPr>
          <w:trHeight w:val="1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Flows from Operating Activities:</w:t>
            </w:r>
          </w:p>
        </w:tc>
        <w:tc>
          <w:tcPr>
            <w:tcW w:w="9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r>
      <w:tr>
        <w:trPr>
          <w:trHeight w:val="152"/>
        </w:trPr>
        <w:tc>
          <w:tcPr>
            <w:tcW w:w="8060" w:type="dxa"/>
            <w:vAlign w:val="bottom"/>
          </w:tcPr>
          <w:p>
            <w:pPr>
              <w:ind w:left="36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ind w:right="7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140,451</w:t>
            </w:r>
          </w:p>
        </w:tc>
        <w:tc>
          <w:tcPr>
            <w:tcW w:w="100" w:type="dxa"/>
            <w:vAlign w:val="bottom"/>
          </w:tcPr>
          <w:p>
            <w:pPr>
              <w:spacing w:after="0"/>
              <w:rPr>
                <w:sz w:val="13"/>
                <w:szCs w:val="13"/>
                <w:color w:val="auto"/>
              </w:rPr>
            </w:pPr>
          </w:p>
        </w:tc>
        <w:tc>
          <w:tcPr>
            <w:tcW w:w="960" w:type="dxa"/>
            <w:vAlign w:val="bottom"/>
          </w:tcPr>
          <w:p>
            <w:pPr>
              <w:jc w:val="right"/>
              <w:ind w:right="8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168,936</w:t>
            </w:r>
          </w:p>
        </w:tc>
      </w:tr>
      <w:tr>
        <w:trPr>
          <w:trHeight w:val="15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9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r>
      <w:tr>
        <w:trPr>
          <w:trHeight w:val="142"/>
        </w:trPr>
        <w:tc>
          <w:tcPr>
            <w:tcW w:w="8060" w:type="dxa"/>
            <w:vAlign w:val="bottom"/>
          </w:tcPr>
          <w:p>
            <w:pPr>
              <w:ind w:left="680"/>
              <w:spacing w:after="0"/>
              <w:rPr>
                <w:sz w:val="20"/>
                <w:szCs w:val="20"/>
                <w:color w:val="auto"/>
              </w:rPr>
            </w:pPr>
            <w:r>
              <w:rPr>
                <w:rFonts w:ascii="Arial" w:cs="Arial" w:eastAsia="Arial" w:hAnsi="Arial"/>
                <w:sz w:val="11"/>
                <w:szCs w:val="11"/>
                <w:color w:val="auto"/>
              </w:rPr>
              <w:t>Provision for credit losses</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41,200</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14,100</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2"/>
        </w:trPr>
        <w:tc>
          <w:tcPr>
            <w:tcW w:w="80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Depreciation and amortization</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27,939</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23,718</w:t>
            </w:r>
          </w:p>
        </w:tc>
      </w:tr>
      <w:tr>
        <w:trPr>
          <w:trHeight w:val="142"/>
        </w:trPr>
        <w:tc>
          <w:tcPr>
            <w:tcW w:w="8060" w:type="dxa"/>
            <w:vAlign w:val="bottom"/>
          </w:tcPr>
          <w:p>
            <w:pPr>
              <w:ind w:left="680"/>
              <w:spacing w:after="0"/>
              <w:rPr>
                <w:sz w:val="20"/>
                <w:szCs w:val="20"/>
                <w:color w:val="auto"/>
              </w:rPr>
            </w:pPr>
            <w:r>
              <w:rPr>
                <w:rFonts w:ascii="Arial" w:cs="Arial" w:eastAsia="Arial" w:hAnsi="Arial"/>
                <w:sz w:val="11"/>
                <w:szCs w:val="11"/>
                <w:color w:val="auto"/>
              </w:rPr>
              <w:t>Change in deferred taxes</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3,148</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(2,095)</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Share-based compensation</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5,498</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4,916</w:t>
            </w:r>
          </w:p>
        </w:tc>
      </w:tr>
      <w:tr>
        <w:trPr>
          <w:trHeight w:val="142"/>
        </w:trPr>
        <w:tc>
          <w:tcPr>
            <w:tcW w:w="8060" w:type="dxa"/>
            <w:vAlign w:val="bottom"/>
          </w:tcPr>
          <w:p>
            <w:pPr>
              <w:ind w:left="680"/>
              <w:spacing w:after="0"/>
              <w:rPr>
                <w:sz w:val="20"/>
                <w:szCs w:val="20"/>
                <w:color w:val="auto"/>
              </w:rPr>
            </w:pPr>
            <w:r>
              <w:rPr>
                <w:rFonts w:ascii="Arial" w:cs="Arial" w:eastAsia="Arial" w:hAnsi="Arial"/>
                <w:sz w:val="11"/>
                <w:szCs w:val="11"/>
                <w:color w:val="auto"/>
              </w:rPr>
              <w:t>Loans originated for sale</w:t>
            </w:r>
          </w:p>
        </w:tc>
        <w:tc>
          <w:tcPr>
            <w:tcW w:w="9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(559,684)</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(358,898)</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Proceeds from sales of loans held for sale</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570,963</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366,363</w:t>
            </w:r>
          </w:p>
        </w:tc>
      </w:tr>
      <w:tr>
        <w:trPr>
          <w:trHeight w:val="152"/>
        </w:trPr>
        <w:tc>
          <w:tcPr>
            <w:tcW w:w="8060" w:type="dxa"/>
            <w:vAlign w:val="bottom"/>
          </w:tcPr>
          <w:p>
            <w:pPr>
              <w:ind w:left="680"/>
              <w:spacing w:after="0"/>
              <w:rPr>
                <w:sz w:val="20"/>
                <w:szCs w:val="20"/>
                <w:color w:val="auto"/>
              </w:rPr>
            </w:pPr>
            <w:r>
              <w:rPr>
                <w:rFonts w:ascii="Arial" w:cs="Arial" w:eastAsia="Arial" w:hAnsi="Arial"/>
                <w:sz w:val="11"/>
                <w:szCs w:val="11"/>
                <w:color w:val="auto"/>
              </w:rPr>
              <w:t>Net gains on sales of loans held for sale</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(15,963)</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(11,992)</w:t>
            </w:r>
          </w:p>
        </w:tc>
      </w:tr>
      <w:tr>
        <w:trPr>
          <w:trHeight w:val="212"/>
        </w:trPr>
        <w:tc>
          <w:tcPr>
            <w:tcW w:w="80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Net loss on mortgage loans reclassified to held for sale</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29,755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r>
      <w:tr>
        <w:trPr>
          <w:trHeight w:val="142"/>
        </w:trPr>
        <w:tc>
          <w:tcPr>
            <w:tcW w:w="8060" w:type="dxa"/>
            <w:vAlign w:val="bottom"/>
          </w:tcPr>
          <w:p>
            <w:pPr>
              <w:ind w:left="680"/>
              <w:spacing w:after="0"/>
              <w:rPr>
                <w:sz w:val="20"/>
                <w:szCs w:val="20"/>
                <w:color w:val="auto"/>
              </w:rPr>
            </w:pPr>
            <w:r>
              <w:rPr>
                <w:rFonts w:ascii="Arial" w:cs="Arial" w:eastAsia="Arial" w:hAnsi="Arial"/>
                <w:sz w:val="11"/>
                <w:szCs w:val="11"/>
                <w:color w:val="auto"/>
              </w:rPr>
              <w:t>Net losses on sales of securities available for sale</w:t>
            </w:r>
          </w:p>
        </w:tc>
        <w:tc>
          <w:tcPr>
            <w:tcW w:w="9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Increase in cash surrender value of life insurance</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(6,545)</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(4,667)</w:t>
            </w:r>
          </w:p>
        </w:tc>
      </w:tr>
      <w:tr>
        <w:trPr>
          <w:trHeight w:val="142"/>
        </w:trPr>
        <w:tc>
          <w:tcPr>
            <w:tcW w:w="8060" w:type="dxa"/>
            <w:vAlign w:val="bottom"/>
          </w:tcPr>
          <w:p>
            <w:pPr>
              <w:ind w:left="680"/>
              <w:spacing w:after="0"/>
              <w:rPr>
                <w:sz w:val="20"/>
                <w:szCs w:val="20"/>
                <w:color w:val="auto"/>
              </w:rPr>
            </w:pPr>
            <w:r>
              <w:rPr>
                <w:rFonts w:ascii="Arial" w:cs="Arial" w:eastAsia="Arial" w:hAnsi="Arial"/>
                <w:sz w:val="11"/>
                <w:szCs w:val="11"/>
                <w:color w:val="auto"/>
              </w:rPr>
              <w:t>Gains on life insurance benefits</w:t>
            </w:r>
          </w:p>
        </w:tc>
        <w:tc>
          <w:tcPr>
            <w:tcW w:w="9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(1,579)</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(1,092)</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Change in income tax receivable</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(15,250)</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(4,806)</w:t>
            </w:r>
          </w:p>
        </w:tc>
      </w:tr>
      <w:tr>
        <w:trPr>
          <w:trHeight w:val="152"/>
        </w:trPr>
        <w:tc>
          <w:tcPr>
            <w:tcW w:w="8060" w:type="dxa"/>
            <w:vAlign w:val="bottom"/>
          </w:tcPr>
          <w:p>
            <w:pPr>
              <w:ind w:left="680"/>
              <w:spacing w:after="0"/>
              <w:rPr>
                <w:sz w:val="20"/>
                <w:szCs w:val="20"/>
                <w:color w:val="auto"/>
              </w:rPr>
            </w:pPr>
            <w:r>
              <w:rPr>
                <w:rFonts w:ascii="Arial" w:cs="Arial" w:eastAsia="Arial" w:hAnsi="Arial"/>
                <w:sz w:val="11"/>
                <w:szCs w:val="11"/>
                <w:color w:val="auto"/>
              </w:rPr>
              <w:t>Change in interest receivable</w:t>
            </w:r>
          </w:p>
        </w:tc>
        <w:tc>
          <w:tcPr>
            <w:tcW w:w="90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5,096</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2,727</w:t>
            </w:r>
          </w:p>
        </w:tc>
      </w:tr>
      <w:tr>
        <w:trPr>
          <w:trHeight w:val="152"/>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Change in interest payable</w:t>
            </w:r>
          </w:p>
        </w:tc>
        <w:tc>
          <w:tcPr>
            <w:tcW w:w="9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(7,070)</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2,138</w:t>
            </w:r>
          </w:p>
        </w:tc>
      </w:tr>
      <w:tr>
        <w:trPr>
          <w:trHeight w:val="155"/>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1"/>
                <w:szCs w:val="11"/>
                <w:color w:val="auto"/>
              </w:rPr>
              <w:t>Other adjustments</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7,069</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3,578</w:t>
            </w:r>
          </w:p>
        </w:tc>
      </w:tr>
      <w:tr>
        <w:trPr>
          <w:trHeight w:val="162"/>
        </w:trPr>
        <w:tc>
          <w:tcPr>
            <w:tcW w:w="80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Net cash provided by operating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225,028</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202,934</w:t>
            </w:r>
          </w:p>
        </w:tc>
      </w:tr>
      <w:tr>
        <w:trPr>
          <w:trHeight w:val="122"/>
        </w:trPr>
        <w:tc>
          <w:tcPr>
            <w:tcW w:w="8060" w:type="dxa"/>
            <w:vAlign w:val="bottom"/>
          </w:tcPr>
          <w:p>
            <w:pPr>
              <w:ind w:left="20"/>
              <w:spacing w:after="0" w:line="122" w:lineRule="exact"/>
              <w:rPr>
                <w:sz w:val="20"/>
                <w:szCs w:val="20"/>
                <w:color w:val="auto"/>
              </w:rPr>
            </w:pPr>
            <w:r>
              <w:rPr>
                <w:rFonts w:ascii="Arial" w:cs="Arial" w:eastAsia="Arial" w:hAnsi="Arial"/>
                <w:sz w:val="11"/>
                <w:szCs w:val="11"/>
                <w:color w:val="auto"/>
              </w:rPr>
              <w:t>Cash Flows from Investing Activities:</w:t>
            </w:r>
          </w:p>
        </w:tc>
        <w:tc>
          <w:tcPr>
            <w:tcW w:w="9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2"/>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Net change in interest-bearing deposits</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(42,059)</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130,185</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Purchase of securities available for sale</w:t>
            </w:r>
          </w:p>
        </w:tc>
        <w:tc>
          <w:tcPr>
            <w:tcW w:w="9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(15,718)</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(10,609)</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Proceeds from sales of securities available for sale</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251,341</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Proceeds from maturities and redemptions of:</w:t>
            </w: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Securities available for sale</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43,739</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47,991</w:t>
            </w:r>
          </w:p>
        </w:tc>
      </w:tr>
      <w:tr>
        <w:trPr>
          <w:trHeight w:val="152"/>
        </w:trPr>
        <w:tc>
          <w:tcPr>
            <w:tcW w:w="8060" w:type="dxa"/>
            <w:vAlign w:val="bottom"/>
          </w:tcPr>
          <w:p>
            <w:pPr>
              <w:ind w:left="680"/>
              <w:spacing w:after="0"/>
              <w:rPr>
                <w:sz w:val="20"/>
                <w:szCs w:val="20"/>
                <w:color w:val="auto"/>
              </w:rPr>
            </w:pPr>
            <w:r>
              <w:rPr>
                <w:rFonts w:ascii="Arial" w:cs="Arial" w:eastAsia="Arial" w:hAnsi="Arial"/>
                <w:sz w:val="11"/>
                <w:szCs w:val="11"/>
                <w:color w:val="auto"/>
              </w:rPr>
              <w:t>Securities held to maturity</w:t>
            </w:r>
          </w:p>
        </w:tc>
        <w:tc>
          <w:tcPr>
            <w:tcW w:w="90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96,164</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76,183</w:t>
            </w:r>
          </w:p>
        </w:tc>
      </w:tr>
      <w:tr>
        <w:trPr>
          <w:trHeight w:val="172"/>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Purchases of Federal Home Loan Bank stock</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(5,644)</w:t>
            </w:r>
          </w:p>
        </w:tc>
      </w:tr>
      <w:tr>
        <w:trPr>
          <w:trHeight w:val="152"/>
        </w:trPr>
        <w:tc>
          <w:tcPr>
            <w:tcW w:w="8060" w:type="dxa"/>
            <w:vAlign w:val="bottom"/>
          </w:tcPr>
          <w:p>
            <w:pPr>
              <w:ind w:left="360"/>
              <w:spacing w:after="0"/>
              <w:rPr>
                <w:sz w:val="20"/>
                <w:szCs w:val="20"/>
                <w:color w:val="auto"/>
              </w:rPr>
            </w:pPr>
            <w:r>
              <w:rPr>
                <w:rFonts w:ascii="Arial" w:cs="Arial" w:eastAsia="Arial" w:hAnsi="Arial"/>
                <w:sz w:val="11"/>
                <w:szCs w:val="11"/>
                <w:color w:val="auto"/>
              </w:rPr>
              <w:t>Redemptions of Federal Home Loan Bank stock</w:t>
            </w:r>
          </w:p>
        </w:tc>
        <w:tc>
          <w:tcPr>
            <w:tcW w:w="90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70</w:t>
            </w:r>
          </w:p>
        </w:tc>
      </w:tr>
      <w:tr>
        <w:trPr>
          <w:trHeight w:val="15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Redemptions of Federal Reserve Bank stock</w:t>
            </w:r>
          </w:p>
        </w:tc>
        <w:tc>
          <w:tcPr>
            <w:tcW w:w="9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1,863</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Payment of capital calls to qualified affordable housing investments</w:t>
            </w:r>
          </w:p>
        </w:tc>
        <w:tc>
          <w:tcPr>
            <w:tcW w:w="9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(39,455)</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(34,969)</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Net change in loans</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(316,713)</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(681,224)</w:t>
            </w:r>
          </w:p>
        </w:tc>
      </w:tr>
      <w:tr>
        <w:trPr>
          <w:trHeight w:val="152"/>
        </w:trPr>
        <w:tc>
          <w:tcPr>
            <w:tcW w:w="8060" w:type="dxa"/>
            <w:vAlign w:val="bottom"/>
          </w:tcPr>
          <w:p>
            <w:pPr>
              <w:ind w:left="360"/>
              <w:spacing w:after="0"/>
              <w:rPr>
                <w:sz w:val="20"/>
                <w:szCs w:val="20"/>
                <w:color w:val="auto"/>
              </w:rPr>
            </w:pPr>
            <w:r>
              <w:rPr>
                <w:rFonts w:ascii="Arial" w:cs="Arial" w:eastAsia="Arial" w:hAnsi="Arial"/>
                <w:sz w:val="11"/>
                <w:szCs w:val="11"/>
                <w:color w:val="auto"/>
              </w:rPr>
              <w:t>Proceeds from mortgage portfolio loan sale</w:t>
            </w:r>
          </w:p>
        </w:tc>
        <w:tc>
          <w:tcPr>
            <w:tcW w:w="90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271,069</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72"/>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Net cash and cash equivalents received in acquisition</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29,922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Proceeds from the sale of other real estate owned</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2,704</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6,072</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Proceeds from life insurance benefits</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5,214</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4,082</w:t>
            </w:r>
          </w:p>
        </w:tc>
      </w:tr>
      <w:tr>
        <w:trPr>
          <w:trHeight w:val="155"/>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Other adjustments</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(13,193)</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(5,203)</w:t>
            </w:r>
          </w:p>
        </w:tc>
      </w:tr>
      <w:tr>
        <w:trPr>
          <w:trHeight w:val="162"/>
        </w:trPr>
        <w:tc>
          <w:tcPr>
            <w:tcW w:w="80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Net cash provided (used) by investing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274,959</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(473,066)</w:t>
            </w:r>
          </w:p>
        </w:tc>
      </w:tr>
      <w:tr>
        <w:trPr>
          <w:trHeight w:val="132"/>
        </w:trPr>
        <w:tc>
          <w:tcPr>
            <w:tcW w:w="8060" w:type="dxa"/>
            <w:vAlign w:val="bottom"/>
          </w:tcPr>
          <w:p>
            <w:pPr>
              <w:ind w:left="20"/>
              <w:spacing w:after="0" w:line="122" w:lineRule="exact"/>
              <w:rPr>
                <w:sz w:val="20"/>
                <w:szCs w:val="20"/>
                <w:color w:val="auto"/>
              </w:rPr>
            </w:pPr>
            <w:r>
              <w:rPr>
                <w:rFonts w:ascii="Arial" w:cs="Arial" w:eastAsia="Arial" w:hAnsi="Arial"/>
                <w:sz w:val="11"/>
                <w:szCs w:val="11"/>
                <w:color w:val="auto"/>
              </w:rPr>
              <w:t>Cash Flows from Financing Activities:</w:t>
            </w:r>
          </w:p>
        </w:tc>
        <w:tc>
          <w:tcPr>
            <w:tcW w:w="9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72"/>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Net change in:</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42"/>
        </w:trPr>
        <w:tc>
          <w:tcPr>
            <w:tcW w:w="8060" w:type="dxa"/>
            <w:vAlign w:val="bottom"/>
          </w:tcPr>
          <w:p>
            <w:pPr>
              <w:ind w:left="680"/>
              <w:spacing w:after="0"/>
              <w:rPr>
                <w:sz w:val="20"/>
                <w:szCs w:val="20"/>
                <w:color w:val="auto"/>
              </w:rPr>
            </w:pPr>
            <w:r>
              <w:rPr>
                <w:rFonts w:ascii="Arial" w:cs="Arial" w:eastAsia="Arial" w:hAnsi="Arial"/>
                <w:sz w:val="11"/>
                <w:szCs w:val="11"/>
                <w:color w:val="auto"/>
              </w:rPr>
              <w:t>Demand and savings deposits</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175,577</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307,586</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Certificates of deposit and other time deposits</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(231,630)</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40,767</w:t>
            </w:r>
          </w:p>
        </w:tc>
      </w:tr>
      <w:tr>
        <w:trPr>
          <w:trHeight w:val="152"/>
        </w:trPr>
        <w:tc>
          <w:tcPr>
            <w:tcW w:w="8060" w:type="dxa"/>
            <w:vAlign w:val="bottom"/>
          </w:tcPr>
          <w:p>
            <w:pPr>
              <w:ind w:left="360"/>
              <w:spacing w:after="0"/>
              <w:rPr>
                <w:sz w:val="20"/>
                <w:szCs w:val="20"/>
                <w:color w:val="auto"/>
              </w:rPr>
            </w:pPr>
            <w:r>
              <w:rPr>
                <w:rFonts w:ascii="Arial" w:cs="Arial" w:eastAsia="Arial" w:hAnsi="Arial"/>
                <w:sz w:val="11"/>
                <w:szCs w:val="11"/>
                <w:color w:val="auto"/>
              </w:rPr>
              <w:t>Proceeds from borrowings</w:t>
            </w:r>
          </w:p>
        </w:tc>
        <w:tc>
          <w:tcPr>
            <w:tcW w:w="90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1,414,095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854,091</w:t>
            </w:r>
          </w:p>
        </w:tc>
      </w:tr>
      <w:tr>
        <w:trPr>
          <w:trHeight w:val="172"/>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Repayment of borrowings</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(1,835,517)</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(834,422)</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Proceeds from issuance of subordinated notes, net of issuance costs</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98,131</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Cash dividends on preferred stock</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(1,406)</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(1,406)</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Cash dividends on common stock</w:t>
            </w:r>
          </w:p>
        </w:tc>
        <w:tc>
          <w:tcPr>
            <w:tcW w:w="9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(69,291)</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(62,092)</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2"/>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Stock issued under employee benefit plans</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538</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480</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Stock issued under dividend reinvestment and stock purchase plans</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1,785</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1,737</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Stock options exercised</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465</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330</w:t>
            </w:r>
          </w:p>
        </w:tc>
      </w:tr>
      <w:tr>
        <w:trPr>
          <w:trHeight w:val="155"/>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Repurchase of common stock</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(50,298)</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(36,476)</w:t>
            </w:r>
          </w:p>
        </w:tc>
      </w:tr>
      <w:tr>
        <w:trPr>
          <w:trHeight w:val="162"/>
        </w:trPr>
        <w:tc>
          <w:tcPr>
            <w:tcW w:w="80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Net cash provided (used) by financing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(497,551)</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270,595</w:t>
            </w:r>
          </w:p>
        </w:tc>
      </w:tr>
      <w:tr>
        <w:trPr>
          <w:trHeight w:val="135"/>
        </w:trPr>
        <w:tc>
          <w:tcPr>
            <w:tcW w:w="8060" w:type="dxa"/>
            <w:vAlign w:val="bottom"/>
          </w:tcPr>
          <w:p>
            <w:pPr>
              <w:ind w:left="20"/>
              <w:spacing w:after="0"/>
              <w:rPr>
                <w:sz w:val="20"/>
                <w:szCs w:val="20"/>
                <w:color w:val="auto"/>
              </w:rPr>
            </w:pPr>
            <w:r>
              <w:rPr>
                <w:rFonts w:ascii="Arial" w:cs="Arial" w:eastAsia="Arial" w:hAnsi="Arial"/>
                <w:sz w:val="11"/>
                <w:szCs w:val="11"/>
                <w:color w:val="auto"/>
              </w:rPr>
              <w:t>Net Change in Cash and Cash Equivalents</w:t>
            </w:r>
          </w:p>
        </w:tc>
        <w:tc>
          <w:tcPr>
            <w:tcW w:w="9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2,436</w:t>
            </w:r>
          </w:p>
        </w:tc>
        <w:tc>
          <w:tcPr>
            <w:tcW w:w="1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463</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January 1</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84,158</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87,616</w:t>
            </w:r>
          </w:p>
        </w:tc>
      </w:tr>
      <w:tr>
        <w:trPr>
          <w:trHeight w:val="162"/>
        </w:trPr>
        <w:tc>
          <w:tcPr>
            <w:tcW w:w="8060" w:type="dxa"/>
            <w:vAlign w:val="bottom"/>
          </w:tcPr>
          <w:p>
            <w:pPr>
              <w:ind w:left="20"/>
              <w:spacing w:after="0"/>
              <w:rPr>
                <w:sz w:val="20"/>
                <w:szCs w:val="20"/>
                <w:color w:val="auto"/>
              </w:rPr>
            </w:pPr>
            <w:r>
              <w:rPr>
                <w:rFonts w:ascii="Arial" w:cs="Arial" w:eastAsia="Arial" w:hAnsi="Arial"/>
                <w:sz w:val="11"/>
                <w:szCs w:val="11"/>
                <w:color w:val="auto"/>
              </w:rPr>
              <w:t>Cash and Cash Equivalents, September 30</w:t>
            </w:r>
          </w:p>
        </w:tc>
        <w:tc>
          <w:tcPr>
            <w:tcW w:w="90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86,594</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88,079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29"/>
        </w:trPr>
        <w:tc>
          <w:tcPr>
            <w:tcW w:w="806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Additional cash flow information:</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52"/>
        </w:trPr>
        <w:tc>
          <w:tcPr>
            <w:tcW w:w="8060" w:type="dxa"/>
            <w:vAlign w:val="bottom"/>
          </w:tcPr>
          <w:p>
            <w:pPr>
              <w:ind w:left="360"/>
              <w:spacing w:after="0"/>
              <w:rPr>
                <w:sz w:val="20"/>
                <w:szCs w:val="20"/>
                <w:color w:val="auto"/>
              </w:rPr>
            </w:pPr>
            <w:r>
              <w:rPr>
                <w:rFonts w:ascii="Arial" w:cs="Arial" w:eastAsia="Arial" w:hAnsi="Arial"/>
                <w:sz w:val="11"/>
                <w:szCs w:val="11"/>
                <w:color w:val="auto"/>
              </w:rPr>
              <w:t>Interest paid</w:t>
            </w:r>
          </w:p>
        </w:tc>
        <w:tc>
          <w:tcPr>
            <w:tcW w:w="900" w:type="dxa"/>
            <w:vAlign w:val="bottom"/>
          </w:tcPr>
          <w:p>
            <w:pPr>
              <w:jc w:val="right"/>
              <w:ind w:right="7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303,183</w:t>
            </w:r>
          </w:p>
        </w:tc>
        <w:tc>
          <w:tcPr>
            <w:tcW w:w="100" w:type="dxa"/>
            <w:vAlign w:val="bottom"/>
          </w:tcPr>
          <w:p>
            <w:pPr>
              <w:spacing w:after="0"/>
              <w:rPr>
                <w:sz w:val="13"/>
                <w:szCs w:val="13"/>
                <w:color w:val="auto"/>
              </w:rPr>
            </w:pPr>
          </w:p>
        </w:tc>
        <w:tc>
          <w:tcPr>
            <w:tcW w:w="960" w:type="dxa"/>
            <w:vAlign w:val="bottom"/>
          </w:tcPr>
          <w:p>
            <w:pPr>
              <w:jc w:val="right"/>
              <w:ind w:right="8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288,261</w:t>
            </w:r>
          </w:p>
        </w:tc>
      </w:tr>
      <w:tr>
        <w:trPr>
          <w:trHeight w:val="15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Income tax paid</w:t>
            </w:r>
          </w:p>
        </w:tc>
        <w:tc>
          <w:tcPr>
            <w:tcW w:w="9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5,401</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18,397</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Loans transferred to other real estate owned</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3,595</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2,202</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Non-cash investing activities using trade date accounting</w:t>
            </w:r>
          </w:p>
        </w:tc>
        <w:tc>
          <w:tcPr>
            <w:tcW w:w="9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70,182</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ROU assets obtained in exchange for new operating lease liabilities</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12,671</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692</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Qualified affordable housing investments obtained in exchange for funding commitments</w:t>
            </w:r>
          </w:p>
        </w:tc>
        <w:tc>
          <w:tcPr>
            <w:tcW w:w="9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29,000</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20,000</w:t>
            </w: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Reclassification of loans to held for sale</w:t>
            </w:r>
          </w:p>
        </w:tc>
        <w:tc>
          <w:tcPr>
            <w:tcW w:w="90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356,956</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0"/>
        </w:trPr>
        <w:tc>
          <w:tcPr>
            <w:tcW w:w="8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2"/>
        </w:trPr>
        <w:tc>
          <w:tcPr>
            <w:tcW w:w="8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Reclassification of loans from held for sale to loans</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47,139</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20"/>
        </w:trPr>
        <w:tc>
          <w:tcPr>
            <w:tcW w:w="80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54"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1. CONSOLIDATED CONDENSED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 conjunction with the acquisition, liabilities were assumed as follows:</w:t>
            </w: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42"/>
        </w:trPr>
        <w:tc>
          <w:tcPr>
            <w:tcW w:w="8060" w:type="dxa"/>
            <w:vAlign w:val="bottom"/>
          </w:tcPr>
          <w:p>
            <w:pPr>
              <w:ind w:left="360"/>
              <w:spacing w:after="0"/>
              <w:rPr>
                <w:sz w:val="20"/>
                <w:szCs w:val="20"/>
                <w:color w:val="auto"/>
              </w:rPr>
            </w:pPr>
            <w:r>
              <w:rPr>
                <w:rFonts w:ascii="Arial" w:cs="Arial" w:eastAsia="Arial" w:hAnsi="Arial"/>
                <w:sz w:val="11"/>
                <w:szCs w:val="11"/>
                <w:color w:val="auto"/>
              </w:rPr>
              <w:t>Fair value of assets acquired</w:t>
            </w: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2,464,488</w:t>
            </w:r>
          </w:p>
        </w:tc>
        <w:tc>
          <w:tcPr>
            <w:tcW w:w="100" w:type="dxa"/>
            <w:vAlign w:val="bottom"/>
          </w:tcPr>
          <w:p>
            <w:pPr>
              <w:spacing w:after="0"/>
              <w:rPr>
                <w:sz w:val="12"/>
                <w:szCs w:val="12"/>
                <w:color w:val="auto"/>
              </w:rPr>
            </w:pPr>
          </w:p>
        </w:tc>
        <w:tc>
          <w:tcPr>
            <w:tcW w:w="720" w:type="dxa"/>
            <w:vAlign w:val="bottom"/>
          </w:tcPr>
          <w:p>
            <w:pPr>
              <w:jc w:val="right"/>
              <w:ind w:right="586"/>
              <w:spacing w:after="0"/>
              <w:rPr>
                <w:sz w:val="20"/>
                <w:szCs w:val="20"/>
                <w:color w:val="auto"/>
              </w:rPr>
            </w:pPr>
            <w:r>
              <w:rPr>
                <w:rFonts w:ascii="Arial" w:cs="Arial" w:eastAsia="Arial" w:hAnsi="Arial"/>
                <w:sz w:val="11"/>
                <w:szCs w:val="11"/>
                <w:color w:val="auto"/>
                <w:w w:val="97"/>
              </w:rPr>
              <w:t>$</w:t>
            </w:r>
          </w:p>
        </w:tc>
        <w:tc>
          <w:tcPr>
            <w:tcW w:w="820" w:type="dxa"/>
            <w:vAlign w:val="bottom"/>
          </w:tcPr>
          <w:p>
            <w:pPr>
              <w:ind w:left="640"/>
              <w:spacing w:after="0"/>
              <w:rPr>
                <w:sz w:val="20"/>
                <w:szCs w:val="20"/>
                <w:color w:val="auto"/>
              </w:rPr>
            </w:pPr>
            <w:r>
              <w:rPr>
                <w:rFonts w:ascii="Arial" w:cs="Arial" w:eastAsia="Arial" w:hAnsi="Arial"/>
                <w:sz w:val="11"/>
                <w:szCs w:val="11"/>
                <w:color w:val="auto"/>
              </w:rPr>
              <w:t>—</w:t>
            </w:r>
          </w:p>
        </w:tc>
      </w:tr>
      <w:tr>
        <w:trPr>
          <w:trHeight w:val="20"/>
        </w:trPr>
        <w:tc>
          <w:tcPr>
            <w:tcW w:w="8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2"/>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Cash paid in acquisition</w:t>
            </w:r>
          </w:p>
        </w:tc>
        <w:tc>
          <w:tcPr>
            <w:tcW w:w="5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1"/>
                <w:szCs w:val="11"/>
                <w:color w:val="auto"/>
              </w:rPr>
              <w:t>—</w:t>
            </w:r>
          </w:p>
        </w:tc>
      </w:tr>
      <w:tr>
        <w:trPr>
          <w:trHeight w:val="156"/>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Less: Common stock issued</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243,214</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rPr>
              <w:t>—</w:t>
            </w:r>
          </w:p>
        </w:tc>
      </w:tr>
      <w:tr>
        <w:trPr>
          <w:trHeight w:val="187"/>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Liabilities assumed</w:t>
            </w:r>
          </w:p>
        </w:tc>
        <w:tc>
          <w:tcPr>
            <w:tcW w:w="52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2,221,267</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1"/>
                <w:szCs w:val="11"/>
                <w:color w:val="auto"/>
              </w:rPr>
              <w:t>—</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See NOTES TO CONSOLIDATED CONDENSED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 Preparation</w:t>
      </w:r>
    </w:p>
    <w:p>
      <w:pPr>
        <w:spacing w:after="0" w:line="258"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The Consolidated Condensed Balance Sheet of the Corporation as of December 31, 2025, has been derived from the audited consolidated balance sheet of the Corporation as of that date. Certain information and note disclosures normally included in the Corporation’s annual financial statements, prepared in accordance with accounting principles generally accepted in the United States of America, have been condensed or omitted. These consolidated condensed financial statements should be read in conjunction with the consolidated financial statements and notes thereto included in the Corporation’s Annual Report on Form 10-K for the year ended December 31, 2025 filed with the Securities and Exchange Commission. The results of operations for the three and nine months ended September 30, 2026, are not necessarily indicative of the results to be expected for the year. Material estimates that are particularly susceptible to significant change relate to the determination of the allowance for credit losses.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Accounting Policies</w:t>
      </w:r>
    </w:p>
    <w:p>
      <w:pPr>
        <w:spacing w:after="0" w:line="258"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significant accounting policies followed by the Corporation and its wholly-owned subsidiaries for interim financial reporting are consistent with the accounting policies followed for annual financial reporting. All adjustments, which are of a normal recurring nature and are in the opinion of management necessary for a fair statement of the results for the periods reported, have been included in the accompanying Consolidated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Reclassifications</w:t>
      </w:r>
    </w:p>
    <w:p>
      <w:pPr>
        <w:spacing w:after="0" w:line="258" w:lineRule="exact"/>
        <w:rPr>
          <w:sz w:val="20"/>
          <w:szCs w:val="20"/>
          <w:color w:val="auto"/>
        </w:rPr>
      </w:pPr>
    </w:p>
    <w:p>
      <w:pPr>
        <w:jc w:val="both"/>
        <w:ind w:right="180"/>
        <w:spacing w:after="0" w:line="273" w:lineRule="auto"/>
        <w:rPr>
          <w:sz w:val="20"/>
          <w:szCs w:val="20"/>
          <w:color w:val="auto"/>
        </w:rPr>
      </w:pPr>
      <w:r>
        <w:rPr>
          <w:rFonts w:ascii="Arial" w:cs="Arial" w:eastAsia="Arial" w:hAnsi="Arial"/>
          <w:sz w:val="14"/>
          <w:szCs w:val="14"/>
          <w:color w:val="auto"/>
        </w:rPr>
        <w:t>Certain prior-period amounts have been reclassified to conform to the current-period presentation. These reclassifications included the separate presentation of the change in income tax receivable in the Consolidated Condensed Statements of Cash Flows. The reclassifications had no effect on previously reported net income, income tax expense, net cash provided by operating activities, total cash flows or stockholders’ equity.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Recent Accounting Changes Adopted in 2026</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FASB Accounting Standards Update No. 2025-08 - </w:t>
      </w:r>
      <w:r>
        <w:rPr>
          <w:rFonts w:ascii="Arial" w:cs="Arial" w:eastAsia="Arial" w:hAnsi="Arial"/>
          <w:sz w:val="14"/>
          <w:szCs w:val="14"/>
          <w:b w:val="1"/>
          <w:bCs w:val="1"/>
          <w:i w:val="1"/>
          <w:iCs w:val="1"/>
          <w:color w:val="auto"/>
        </w:rPr>
        <w:t>Financial Instruments—Credit Losses (Topic 326): Purchased Loans</w:t>
      </w:r>
    </w:p>
    <w:p>
      <w:pPr>
        <w:spacing w:after="0" w:line="29" w:lineRule="exact"/>
        <w:rPr>
          <w:sz w:val="20"/>
          <w:szCs w:val="20"/>
          <w:color w:val="auto"/>
        </w:rPr>
      </w:pPr>
    </w:p>
    <w:p>
      <w:pPr>
        <w:spacing w:after="0" w:line="250" w:lineRule="auto"/>
        <w:rPr>
          <w:sz w:val="20"/>
          <w:szCs w:val="20"/>
          <w:color w:val="auto"/>
        </w:rPr>
      </w:pPr>
      <w:r>
        <w:rPr>
          <w:rFonts w:ascii="Arial" w:cs="Arial" w:eastAsia="Arial" w:hAnsi="Arial"/>
          <w:sz w:val="14"/>
          <w:szCs w:val="14"/>
          <w:u w:val="single" w:color="auto"/>
          <w:color w:val="auto"/>
        </w:rPr>
        <w:t>Summary</w:t>
      </w:r>
      <w:r>
        <w:rPr>
          <w:rFonts w:ascii="Arial" w:cs="Arial" w:eastAsia="Arial" w:hAnsi="Arial"/>
          <w:sz w:val="14"/>
          <w:szCs w:val="14"/>
          <w:color w:val="auto"/>
        </w:rPr>
        <w:t xml:space="preserve"> - Effective January 1, 2026, the Corporation early adopted Accounting Standards Update ("ASU") No. 2025-08, </w:t>
      </w:r>
      <w:r>
        <w:rPr>
          <w:rFonts w:ascii="Arial" w:cs="Arial" w:eastAsia="Arial" w:hAnsi="Arial"/>
          <w:sz w:val="14"/>
          <w:szCs w:val="14"/>
          <w:i w:val="1"/>
          <w:iCs w:val="1"/>
          <w:color w:val="auto"/>
        </w:rPr>
        <w:t>Financial Instruments—Credit Losses (Topic 326):</w:t>
      </w:r>
      <w:r>
        <w:rPr>
          <w:rFonts w:ascii="Arial" w:cs="Arial" w:eastAsia="Arial" w:hAnsi="Arial"/>
          <w:sz w:val="14"/>
          <w:szCs w:val="14"/>
          <w:color w:val="auto"/>
        </w:rPr>
        <w:t xml:space="preserve"> </w:t>
      </w:r>
      <w:r>
        <w:rPr>
          <w:rFonts w:ascii="Arial" w:cs="Arial" w:eastAsia="Arial" w:hAnsi="Arial"/>
          <w:sz w:val="14"/>
          <w:szCs w:val="14"/>
          <w:i w:val="1"/>
          <w:iCs w:val="1"/>
          <w:color w:val="auto"/>
        </w:rPr>
        <w:t>Purchased Loans</w:t>
      </w:r>
      <w:r>
        <w:rPr>
          <w:rFonts w:ascii="Arial" w:cs="Arial" w:eastAsia="Arial" w:hAnsi="Arial"/>
          <w:sz w:val="14"/>
          <w:szCs w:val="14"/>
          <w:color w:val="auto"/>
        </w:rPr>
        <w:t>, which expands the use of the gross-up method to certain purchased seasoned loans. Upon adoption, the Corporation recognized acquisition-date expected</w:t>
      </w:r>
      <w:r>
        <w:rPr>
          <w:rFonts w:ascii="Arial" w:cs="Arial" w:eastAsia="Arial" w:hAnsi="Arial"/>
          <w:sz w:val="14"/>
          <w:szCs w:val="14"/>
          <w:i w:val="1"/>
          <w:iCs w:val="1"/>
          <w:color w:val="auto"/>
        </w:rPr>
        <w:t xml:space="preserve"> </w:t>
      </w:r>
      <w:r>
        <w:rPr>
          <w:rFonts w:ascii="Arial" w:cs="Arial" w:eastAsia="Arial" w:hAnsi="Arial"/>
          <w:sz w:val="14"/>
          <w:szCs w:val="14"/>
          <w:color w:val="auto"/>
        </w:rPr>
        <w:t>credit losses of $22.3 million, consisting of $15.2 million related to purchased seasoned loans and $7.1 million related to purchased credit-deteriorated loans, through the allowance for credit losses with a corresponding increase to the acquired loans’ amortized cost basis. The guidance was applied prospectively and did not result in a cumulative-effect adjustment to retained earnings. See NOTE 4. LOANS AND ALLOWANCE FOR CREDIT LOSSES of the Notes to Consolidated Condensed Financial Statements for additional information.</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New Accounting Pronouncements Not Yet Adopted</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continually monitors potential accounting pronouncements and the following pronouncements have been deemed to have the most applicability to the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Corporation's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FASB Accounting Standards Update No. 2024-03 - </w:t>
      </w:r>
      <w:r>
        <w:rPr>
          <w:rFonts w:ascii="Arial" w:cs="Arial" w:eastAsia="Arial" w:hAnsi="Arial"/>
          <w:sz w:val="14"/>
          <w:szCs w:val="14"/>
          <w:b w:val="1"/>
          <w:bCs w:val="1"/>
          <w:i w:val="1"/>
          <w:iCs w:val="1"/>
          <w:color w:val="auto"/>
        </w:rPr>
        <w:t>Income Statement—Reporting Comprehensive Income—Expense Disaggregation Disclosures (Subtopic 220-40):</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Income Statement Expenses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Summary</w:t>
      </w:r>
      <w:r>
        <w:rPr>
          <w:rFonts w:ascii="Arial" w:cs="Arial" w:eastAsia="Arial" w:hAnsi="Arial"/>
          <w:sz w:val="14"/>
          <w:szCs w:val="14"/>
          <w:color w:val="auto"/>
        </w:rPr>
        <w:t xml:space="preserve"> - The FASB issued ASU No. 2024-03, </w:t>
      </w:r>
      <w:r>
        <w:rPr>
          <w:rFonts w:ascii="Arial" w:cs="Arial" w:eastAsia="Arial" w:hAnsi="Arial"/>
          <w:sz w:val="14"/>
          <w:szCs w:val="14"/>
          <w:i w:val="1"/>
          <w:iCs w:val="1"/>
          <w:color w:val="auto"/>
        </w:rPr>
        <w:t>Income Statement—Reporting Comprehensive Income—Expense Disaggregation Disclosures (Subtopic 220-40):</w:t>
      </w:r>
    </w:p>
    <w:p>
      <w:pPr>
        <w:spacing w:after="0" w:line="15"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i w:val="1"/>
          <w:iCs w:val="1"/>
          <w:color w:val="auto"/>
        </w:rPr>
        <w:t xml:space="preserve">Disaggregation of Income Statement Expenses </w:t>
      </w:r>
      <w:r>
        <w:rPr>
          <w:rFonts w:ascii="Arial" w:cs="Arial" w:eastAsia="Arial" w:hAnsi="Arial"/>
          <w:sz w:val="14"/>
          <w:szCs w:val="14"/>
          <w:color w:val="auto"/>
        </w:rPr>
        <w:t>in the fourth quarter of 2024. This ASU requires public business entities to disclose specific information about certain costs and</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in the notes to its financial statements for interim and annual reporting periods.</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amendments in this Update are effective for annual reporting periods beginning after December 15, 2026, and interim reporting periods beginning after December 15, 2027. Early adoption is permitted. The amendments may be applied either prospectively to financial statements issued for reporting periods after the effective date or retrospectively to any or all prior periods presented in the financial statements. The Corporation has not yet selected a transition method. The Corporation is assessing the impact of this new standard on its disclosures and expects to provide additional detail and disclosures under this new guidance.</w:t>
      </w:r>
    </w:p>
    <w:p>
      <w:pPr>
        <w:spacing w:after="0" w:line="210" w:lineRule="exact"/>
        <w:rPr>
          <w:sz w:val="20"/>
          <w:szCs w:val="20"/>
          <w:color w:val="auto"/>
        </w:rPr>
      </w:pPr>
    </w:p>
    <w:p>
      <w:pPr>
        <w:ind w:right="520"/>
        <w:spacing w:after="0" w:line="272" w:lineRule="auto"/>
        <w:rPr>
          <w:sz w:val="20"/>
          <w:szCs w:val="20"/>
          <w:color w:val="auto"/>
        </w:rPr>
      </w:pPr>
      <w:r>
        <w:rPr>
          <w:rFonts w:ascii="Arial" w:cs="Arial" w:eastAsia="Arial" w:hAnsi="Arial"/>
          <w:sz w:val="14"/>
          <w:szCs w:val="14"/>
          <w:b w:val="1"/>
          <w:bCs w:val="1"/>
          <w:color w:val="auto"/>
        </w:rPr>
        <w:t xml:space="preserve">FASB Accounting Standards Update No. 2025-06 - </w:t>
      </w:r>
      <w:r>
        <w:rPr>
          <w:rFonts w:ascii="Arial" w:cs="Arial" w:eastAsia="Arial" w:hAnsi="Arial"/>
          <w:sz w:val="14"/>
          <w:szCs w:val="14"/>
          <w:b w:val="1"/>
          <w:bCs w:val="1"/>
          <w:i w:val="1"/>
          <w:iCs w:val="1"/>
          <w:color w:val="auto"/>
        </w:rPr>
        <w:t>Intangibles—Goodwill and Other—Internal-Use Software (Subtopic 350-40): Targeted Improvements to the</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Accounting for Internal-Use Software</w:t>
      </w:r>
    </w:p>
    <w:p>
      <w:pPr>
        <w:ind w:right="140"/>
        <w:spacing w:after="0" w:line="255" w:lineRule="auto"/>
        <w:rPr>
          <w:sz w:val="20"/>
          <w:szCs w:val="20"/>
          <w:color w:val="auto"/>
        </w:rPr>
      </w:pPr>
      <w:r>
        <w:rPr>
          <w:rFonts w:ascii="Arial" w:cs="Arial" w:eastAsia="Arial" w:hAnsi="Arial"/>
          <w:sz w:val="14"/>
          <w:szCs w:val="14"/>
          <w:u w:val="single" w:color="auto"/>
          <w:color w:val="auto"/>
        </w:rPr>
        <w:t>Summary</w:t>
      </w:r>
      <w:r>
        <w:rPr>
          <w:rFonts w:ascii="Arial" w:cs="Arial" w:eastAsia="Arial" w:hAnsi="Arial"/>
          <w:sz w:val="14"/>
          <w:szCs w:val="14"/>
          <w:color w:val="auto"/>
        </w:rPr>
        <w:t xml:space="preserve"> - The FASB issued ASU No. 2025-06, </w:t>
      </w:r>
      <w:r>
        <w:rPr>
          <w:rFonts w:ascii="Arial" w:cs="Arial" w:eastAsia="Arial" w:hAnsi="Arial"/>
          <w:sz w:val="14"/>
          <w:szCs w:val="14"/>
          <w:i w:val="1"/>
          <w:iCs w:val="1"/>
          <w:color w:val="auto"/>
        </w:rPr>
        <w:t>Intangibles—Goodwill and Other—Internal-Use Software (Subtopic 350-40): Targeted Improvements to the Accounting for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Internal-Use Software </w:t>
      </w:r>
      <w:r>
        <w:rPr>
          <w:rFonts w:ascii="Arial" w:cs="Arial" w:eastAsia="Arial" w:hAnsi="Arial"/>
          <w:sz w:val="14"/>
          <w:szCs w:val="14"/>
          <w:color w:val="auto"/>
        </w:rPr>
        <w:t>in the third quarter of 2025. The amendments in this Update replace the project-stage model with capitalization criteria based on management's</w:t>
      </w:r>
      <w:r>
        <w:rPr>
          <w:rFonts w:ascii="Arial" w:cs="Arial" w:eastAsia="Arial" w:hAnsi="Arial"/>
          <w:sz w:val="14"/>
          <w:szCs w:val="14"/>
          <w:i w:val="1"/>
          <w:iCs w:val="1"/>
          <w:color w:val="auto"/>
        </w:rPr>
        <w:t xml:space="preserve"> </w:t>
      </w:r>
      <w:r>
        <w:rPr>
          <w:rFonts w:ascii="Arial" w:cs="Arial" w:eastAsia="Arial" w:hAnsi="Arial"/>
          <w:sz w:val="14"/>
          <w:szCs w:val="14"/>
          <w:color w:val="auto"/>
        </w:rPr>
        <w:t>authorization and commitment to fund the project and the probability that the software will be completed and used as intended. The amendments also require Subtopic 360-10 disclosures for capitalized internal-use software and incorporate website development cost guidance into Subtopic 350-40.</w:t>
      </w:r>
    </w:p>
    <w:p>
      <w:pPr>
        <w:sectPr>
          <w:pgSz w:w="11900" w:h="16838" w:orient="portrait"/>
          <w:cols w:equalWidth="0" w:num="1">
            <w:col w:w="11220"/>
          </w:cols>
          <w:pgMar w:left="320" w:top="3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amendments are effective for annual reporting periods beginning after December 15, 2027, and interim reporting periods within those years. Early adoption is permitted as of the beginning of an annual reporting period. The amendments may be applied prospectively, using a modified transition approach, or retrospectively. The Corporation has not yet determined its transition method and is evaluating the impact of the ASU on its internal-use software capitalization policies, project approval controls, and related disclosures, including the accounting for software developed through continuous or incremental development processes. The Corporation has not yet determined the impact of adoption on its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FASB Accounting Standards Update No. 2025-09 - </w:t>
      </w:r>
      <w:r>
        <w:rPr>
          <w:rFonts w:ascii="Arial" w:cs="Arial" w:eastAsia="Arial" w:hAnsi="Arial"/>
          <w:sz w:val="14"/>
          <w:szCs w:val="14"/>
          <w:b w:val="1"/>
          <w:bCs w:val="1"/>
          <w:i w:val="1"/>
          <w:iCs w:val="1"/>
          <w:color w:val="auto"/>
        </w:rPr>
        <w:t>Derivatives and Hedging (Topic 815): Hedge Accounting Improvements</w:t>
      </w:r>
    </w:p>
    <w:p>
      <w:pPr>
        <w:spacing w:after="0" w:line="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4"/>
          <w:szCs w:val="14"/>
          <w:u w:val="single" w:color="auto"/>
          <w:color w:val="auto"/>
        </w:rPr>
        <w:t>Summary</w:t>
      </w:r>
      <w:r>
        <w:rPr>
          <w:rFonts w:ascii="Arial" w:cs="Arial" w:eastAsia="Arial" w:hAnsi="Arial"/>
          <w:sz w:val="14"/>
          <w:szCs w:val="14"/>
          <w:color w:val="auto"/>
        </w:rPr>
        <w:t xml:space="preserve"> - The FASB issued ASU No. 2025-09, </w:t>
      </w:r>
      <w:r>
        <w:rPr>
          <w:rFonts w:ascii="Arial" w:cs="Arial" w:eastAsia="Arial" w:hAnsi="Arial"/>
          <w:sz w:val="14"/>
          <w:szCs w:val="14"/>
          <w:i w:val="1"/>
          <w:iCs w:val="1"/>
          <w:color w:val="auto"/>
        </w:rPr>
        <w:t>Derivatives and Hedging (Topic 815): Hedge Accounting Improvements</w:t>
      </w:r>
      <w:r>
        <w:rPr>
          <w:rFonts w:ascii="Arial" w:cs="Arial" w:eastAsia="Arial" w:hAnsi="Arial"/>
          <w:sz w:val="14"/>
          <w:szCs w:val="14"/>
          <w:color w:val="auto"/>
        </w:rPr>
        <w:t xml:space="preserve"> in the fourth quarter of 2025. The amendments in this Update clarify certain aspects of the guidance on hedge accounting and address several incremental hedge accounting issues from the global reference rate reform initiative.</w:t>
      </w:r>
    </w:p>
    <w:p>
      <w:pPr>
        <w:spacing w:after="0" w:line="199" w:lineRule="exact"/>
        <w:rPr>
          <w:sz w:val="20"/>
          <w:szCs w:val="20"/>
          <w:color w:val="auto"/>
        </w:rPr>
      </w:pPr>
    </w:p>
    <w:p>
      <w:pPr>
        <w:ind w:right="200"/>
        <w:spacing w:after="0" w:line="284" w:lineRule="auto"/>
        <w:rPr>
          <w:sz w:val="20"/>
          <w:szCs w:val="20"/>
          <w:color w:val="auto"/>
        </w:rPr>
      </w:pPr>
      <w:r>
        <w:rPr>
          <w:rFonts w:ascii="Arial" w:cs="Arial" w:eastAsia="Arial" w:hAnsi="Arial"/>
          <w:sz w:val="14"/>
          <w:szCs w:val="14"/>
          <w:color w:val="auto"/>
        </w:rPr>
        <w:t>The objective is to more closely align hedge accounting with the economics of an entity’s risk management activities. The five issues addressed in this Update are intended to better reflect those strategies in financial reporting by enabling entities to achieve and maintain hedge accounting for highly effective economic hedges of forecasted transactions.</w:t>
      </w:r>
    </w:p>
    <w:p>
      <w:pPr>
        <w:spacing w:after="0" w:line="361" w:lineRule="exact"/>
        <w:rPr>
          <w:sz w:val="20"/>
          <w:szCs w:val="20"/>
          <w:color w:val="auto"/>
        </w:rPr>
      </w:pPr>
    </w:p>
    <w:p>
      <w:pPr>
        <w:ind w:right="240"/>
        <w:spacing w:after="0" w:line="276" w:lineRule="auto"/>
        <w:rPr>
          <w:sz w:val="20"/>
          <w:szCs w:val="20"/>
          <w:color w:val="auto"/>
        </w:rPr>
      </w:pPr>
      <w:r>
        <w:rPr>
          <w:rFonts w:ascii="Arial" w:cs="Arial" w:eastAsia="Arial" w:hAnsi="Arial"/>
          <w:sz w:val="14"/>
          <w:szCs w:val="14"/>
          <w:color w:val="auto"/>
        </w:rPr>
        <w:t>The amendments in this Update are effective for annual reporting periods beginning after December 15, 2026, and interim reporting periods within those fiscal years. Early adoption is permitted. The amendments are applied prospectively, with an election to apply them to existing hedging relationships as of the adoption date. The Corporation is assessing the terms of this guidance, but adoption of the standard is not expected to have a material impact on the Corporation’s consolidated financial statements or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FASB Accounting Standards Update No. 2025-10 - </w:t>
      </w:r>
      <w:r>
        <w:rPr>
          <w:rFonts w:ascii="Arial" w:cs="Arial" w:eastAsia="Arial" w:hAnsi="Arial"/>
          <w:sz w:val="14"/>
          <w:szCs w:val="14"/>
          <w:b w:val="1"/>
          <w:bCs w:val="1"/>
          <w:i w:val="1"/>
          <w:iCs w:val="1"/>
          <w:color w:val="auto"/>
        </w:rPr>
        <w:t>Government Grants (Topic 832): Accounting for Government Grants Received by Business Entities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Summary</w:t>
      </w:r>
      <w:r>
        <w:rPr>
          <w:rFonts w:ascii="Arial" w:cs="Arial" w:eastAsia="Arial" w:hAnsi="Arial"/>
          <w:sz w:val="14"/>
          <w:szCs w:val="14"/>
          <w:color w:val="auto"/>
        </w:rPr>
        <w:t xml:space="preserve"> - The FASB issued ASU No. 2025-10, </w:t>
      </w:r>
      <w:r>
        <w:rPr>
          <w:rFonts w:ascii="Arial" w:cs="Arial" w:eastAsia="Arial" w:hAnsi="Arial"/>
          <w:sz w:val="14"/>
          <w:szCs w:val="14"/>
          <w:i w:val="1"/>
          <w:iCs w:val="1"/>
          <w:color w:val="auto"/>
        </w:rPr>
        <w:t>Government Grants (Topic 832): Accounting for Government Grants Received by Business Entities</w:t>
      </w:r>
      <w:r>
        <w:rPr>
          <w:rFonts w:ascii="Arial" w:cs="Arial" w:eastAsia="Arial" w:hAnsi="Arial"/>
          <w:sz w:val="14"/>
          <w:szCs w:val="14"/>
          <w:color w:val="auto"/>
        </w:rPr>
        <w:t xml:space="preserve"> in the fourth quarter of</w:t>
      </w:r>
    </w:p>
    <w:p>
      <w:pPr>
        <w:spacing w:after="0" w:line="15" w:lineRule="exact"/>
        <w:rPr>
          <w:sz w:val="20"/>
          <w:szCs w:val="20"/>
          <w:color w:val="auto"/>
        </w:rPr>
      </w:pPr>
    </w:p>
    <w:p>
      <w:pPr>
        <w:jc w:val="both"/>
        <w:ind w:right="140"/>
        <w:spacing w:after="0" w:line="252" w:lineRule="auto"/>
        <w:rPr>
          <w:sz w:val="20"/>
          <w:szCs w:val="20"/>
          <w:color w:val="auto"/>
        </w:rPr>
      </w:pPr>
      <w:r>
        <w:rPr>
          <w:rFonts w:ascii="Arial" w:cs="Arial" w:eastAsia="Arial" w:hAnsi="Arial"/>
          <w:sz w:val="14"/>
          <w:szCs w:val="14"/>
          <w:color w:val="auto"/>
        </w:rPr>
        <w:t>2025. This Update establishes authoritative U.S. GAAP guidance for accounting for government grants received by business entities, including recognition, measurement, and presentation. It provides specific guidance for grants related to assets and grants related to income. The amendments exclude income taxes, below-market interest rate loans, and government guarantees.</w:t>
      </w:r>
    </w:p>
    <w:p>
      <w:pPr>
        <w:spacing w:after="0" w:line="208"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The amendments are effective for annual reporting periods beginning after December 15, 2028, and interim reporting periods within those fiscal years. Early adoption is permitted for any interim or annual reporting period in which financial statements have not yet been issued or made available for issuance. The amendments may be applied using a modified prospective, modified retrospective, or retrospective approach. The Corporation is assessing the terms of this guidance, but adoption of the standard is not expected to have a material impact on the Corporation’s consolidated financial statements or disclosures.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ACQUISITIONS</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First Savings Financial Group, Inc. Acquisition</w:t>
      </w:r>
    </w:p>
    <w:p>
      <w:pPr>
        <w:spacing w:after="0" w:line="24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On February 1, 2026 (the "Effective Time"), the Corporation completed the acquisition of First Savings Financial Group, Inc., an Indiana corporation ("First Savings"), pursuant to the Agreement and Plan of Merger, dated September 24, 2025, by and between the Corporation and First Savings (the "Merger Agreement"). Immediately following the Merger, First Savings Bank, a wholly-owned subsidiary of First Savings, merged with and into the Bank, with the Bank surviving the merger and continuing its corporate existence.</w:t>
      </w:r>
    </w:p>
    <w:p>
      <w:pPr>
        <w:spacing w:after="0" w:line="20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First Savings was headquartered in Jeffersonville, Indiana and had 16 banking centers serving the southern Indiana market. The acquisition expanded the Corporation’s presence in southern Indiana and added markets with demographic characteristics consistent with the Corporation’s existing Midwest markets. As of the Effective Time, each share of outstanding First Savings common stock was converted into the right to receive 0.85 of a share (the "Exchange Ratio") of First Merchants common stock, in a tax-free exchange, plus cash-in-lieu of any fractional share created by the Exchange Ratio.</w:t>
      </w:r>
    </w:p>
    <w:p>
      <w:pPr>
        <w:spacing w:after="0" w:line="210"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color w:val="auto"/>
        </w:rPr>
        <w:t>Immediately prior to the Effective Time, each outstanding First Savings restricted stock award held by certain directors, executive officers and employees of First Savings, whether unvested or vested, was exchanged for shares of First Merchants common stock based on the Exchange Ratio according to their respective award agreement terms.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In addition, on the day immediately preceding the Effective Time, each outstanding option to acquire a share of First Savings common stock was cancelled in exchange for the right to receive a cash payment, which was paid by First Savings, equal to (i) $32.59 per share, which is equal to the Exchange Ratio multiplied by the volume-weighted average price of First Merchants common stock over the ten (10) consecutive trading days ending on January 27, 2026, less (ii) the option exercise price per share, and less (iii) any applicable withholding taxes.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 issued 6.1 million shares of its common stock, in exchange for all of the issued and outstanding shares of First Savings common stock.</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3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total purchase price of approximately $243.2 million consists primarily of equity consideration issued by the Corporation and is measured at fair value based on the Corporation’s common stock price as of the acquisition date. The purchase price also includes cash paid in lieu of fractional shares. The purchase price represents the fair value of consideration transferred in accordance with Accounting Standards Codification ("ASC") 805.</w:t>
      </w:r>
    </w:p>
    <w:p>
      <w:pPr>
        <w:spacing w:after="0" w:line="186"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color w:val="auto"/>
        </w:rPr>
        <w:t>Under the acquisition method of accounting, the total purchase price is allocated to net tangible and intangible assets based on their current estimated fair values on the date of the acquisition. Based on preliminary valuations of the fair value of tangible and intangible assets acquired and liabilities assumed, which remain subject to adjustment during the measurement period, the purchase price for the First Savings acquisition is detailed in the following table. If, prior to the end of the one-year measurement period for finalizing the purchase price allocation, information becomes available about facts and circumstances that existed as of the acquisition date, which would indicate adjustments are required to the purchase price allocation, such adjustments will be included in the purchase price allocation retrospectively.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0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826"/>
              <w:spacing w:after="0"/>
              <w:rPr>
                <w:sz w:val="20"/>
                <w:szCs w:val="20"/>
                <w:color w:val="auto"/>
              </w:rPr>
            </w:pPr>
            <w:r>
              <w:rPr>
                <w:rFonts w:ascii="Arial" w:cs="Arial" w:eastAsia="Arial" w:hAnsi="Arial"/>
                <w:sz w:val="11"/>
                <w:szCs w:val="11"/>
                <w:color w:val="auto"/>
              </w:rPr>
              <w:t>Fair Value</w:t>
            </w:r>
          </w:p>
        </w:tc>
      </w:tr>
      <w:tr>
        <w:trPr>
          <w:trHeight w:val="14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due from banks</w:t>
            </w:r>
          </w:p>
        </w:tc>
        <w:tc>
          <w:tcPr>
            <w:tcW w:w="48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1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29,929</w:t>
            </w:r>
          </w:p>
        </w:tc>
      </w:tr>
      <w:tr>
        <w:trPr>
          <w:trHeight w:val="152"/>
        </w:trPr>
        <w:tc>
          <w:tcPr>
            <w:tcW w:w="9000" w:type="dxa"/>
            <w:vAlign w:val="bottom"/>
          </w:tcPr>
          <w:p>
            <w:pPr>
              <w:ind w:left="20"/>
              <w:spacing w:after="0"/>
              <w:rPr>
                <w:sz w:val="20"/>
                <w:szCs w:val="20"/>
                <w:color w:val="auto"/>
              </w:rPr>
            </w:pPr>
            <w:r>
              <w:rPr>
                <w:rFonts w:ascii="Arial" w:cs="Arial" w:eastAsia="Arial" w:hAnsi="Arial"/>
                <w:sz w:val="11"/>
                <w:szCs w:val="11"/>
                <w:color w:val="auto"/>
              </w:rPr>
              <w:t>Interest-bearing deposits</w:t>
            </w:r>
          </w:p>
        </w:tc>
        <w:tc>
          <w:tcPr>
            <w:tcW w:w="480" w:type="dxa"/>
            <w:vAlign w:val="bottom"/>
          </w:tcPr>
          <w:p>
            <w:pPr>
              <w:spacing w:after="0"/>
              <w:rPr>
                <w:sz w:val="13"/>
                <w:szCs w:val="13"/>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24,144</w:t>
            </w:r>
          </w:p>
        </w:tc>
      </w:tr>
      <w:tr>
        <w:trPr>
          <w:trHeight w:val="15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Investment securities</w:t>
            </w:r>
          </w:p>
        </w:tc>
        <w:tc>
          <w:tcPr>
            <w:tcW w:w="48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251,341</w:t>
            </w:r>
          </w:p>
        </w:tc>
      </w:tr>
      <w:tr>
        <w:trPr>
          <w:trHeight w:val="142"/>
        </w:trPr>
        <w:tc>
          <w:tcPr>
            <w:tcW w:w="9000" w:type="dxa"/>
            <w:vAlign w:val="bottom"/>
          </w:tcPr>
          <w:p>
            <w:pPr>
              <w:ind w:left="20"/>
              <w:spacing w:after="0"/>
              <w:rPr>
                <w:sz w:val="20"/>
                <w:szCs w:val="20"/>
                <w:color w:val="auto"/>
              </w:rPr>
            </w:pPr>
            <w:r>
              <w:rPr>
                <w:rFonts w:ascii="Arial" w:cs="Arial" w:eastAsia="Arial" w:hAnsi="Arial"/>
                <w:sz w:val="11"/>
                <w:szCs w:val="11"/>
                <w:color w:val="auto"/>
              </w:rPr>
              <w:t>Loans held for sale</w:t>
            </w:r>
          </w:p>
        </w:tc>
        <w:tc>
          <w:tcPr>
            <w:tcW w:w="480" w:type="dxa"/>
            <w:vAlign w:val="bottom"/>
          </w:tcPr>
          <w:p>
            <w:pPr>
              <w:spacing w:after="0"/>
              <w:rPr>
                <w:sz w:val="12"/>
                <w:szCs w:val="12"/>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62,537</w:t>
            </w:r>
          </w:p>
        </w:tc>
      </w:tr>
      <w:tr>
        <w:trPr>
          <w:trHeight w:val="20"/>
        </w:trPr>
        <w:tc>
          <w:tcPr>
            <w:tcW w:w="9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Loans</w:t>
            </w:r>
          </w:p>
        </w:tc>
        <w:tc>
          <w:tcPr>
            <w:tcW w:w="48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1,840,524</w:t>
            </w:r>
          </w:p>
        </w:tc>
      </w:tr>
      <w:tr>
        <w:trPr>
          <w:trHeight w:val="142"/>
        </w:trPr>
        <w:tc>
          <w:tcPr>
            <w:tcW w:w="9000" w:type="dxa"/>
            <w:vAlign w:val="bottom"/>
          </w:tcPr>
          <w:p>
            <w:pPr>
              <w:ind w:left="20"/>
              <w:spacing w:after="0"/>
              <w:rPr>
                <w:sz w:val="20"/>
                <w:szCs w:val="20"/>
                <w:color w:val="auto"/>
              </w:rPr>
            </w:pPr>
            <w:r>
              <w:rPr>
                <w:rFonts w:ascii="Arial" w:cs="Arial" w:eastAsia="Arial" w:hAnsi="Arial"/>
                <w:sz w:val="11"/>
                <w:szCs w:val="11"/>
                <w:color w:val="auto"/>
              </w:rPr>
              <w:t>Allowance for credit losses - loans</w:t>
            </w:r>
          </w:p>
        </w:tc>
        <w:tc>
          <w:tcPr>
            <w:tcW w:w="48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(22,280)</w:t>
            </w:r>
          </w:p>
        </w:tc>
      </w:tr>
      <w:tr>
        <w:trPr>
          <w:trHeight w:val="20"/>
        </w:trPr>
        <w:tc>
          <w:tcPr>
            <w:tcW w:w="9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62"/>
        </w:trPr>
        <w:tc>
          <w:tcPr>
            <w:tcW w:w="9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Premises and equipment</w:t>
            </w:r>
          </w:p>
        </w:tc>
        <w:tc>
          <w:tcPr>
            <w:tcW w:w="48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23,465</w:t>
            </w:r>
          </w:p>
        </w:tc>
      </w:tr>
      <w:tr>
        <w:trPr>
          <w:trHeight w:val="142"/>
        </w:trPr>
        <w:tc>
          <w:tcPr>
            <w:tcW w:w="9000" w:type="dxa"/>
            <w:vAlign w:val="bottom"/>
          </w:tcPr>
          <w:p>
            <w:pPr>
              <w:ind w:left="20"/>
              <w:spacing w:after="0"/>
              <w:rPr>
                <w:sz w:val="20"/>
                <w:szCs w:val="20"/>
                <w:color w:val="auto"/>
              </w:rPr>
            </w:pPr>
            <w:r>
              <w:rPr>
                <w:rFonts w:ascii="Arial" w:cs="Arial" w:eastAsia="Arial" w:hAnsi="Arial"/>
                <w:sz w:val="11"/>
                <w:szCs w:val="11"/>
                <w:color w:val="auto"/>
              </w:rPr>
              <w:t>Federal Home Loan Bank stock</w:t>
            </w:r>
          </w:p>
        </w:tc>
        <w:tc>
          <w:tcPr>
            <w:tcW w:w="480" w:type="dxa"/>
            <w:vAlign w:val="bottom"/>
          </w:tcPr>
          <w:p>
            <w:pPr>
              <w:spacing w:after="0"/>
              <w:rPr>
                <w:sz w:val="12"/>
                <w:szCs w:val="12"/>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23,630</w:t>
            </w:r>
          </w:p>
        </w:tc>
      </w:tr>
      <w:tr>
        <w:trPr>
          <w:trHeight w:val="20"/>
        </w:trPr>
        <w:tc>
          <w:tcPr>
            <w:tcW w:w="9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real estate owned</w:t>
            </w:r>
          </w:p>
        </w:tc>
        <w:tc>
          <w:tcPr>
            <w:tcW w:w="48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856</w:t>
            </w:r>
          </w:p>
        </w:tc>
      </w:tr>
      <w:tr>
        <w:trPr>
          <w:trHeight w:val="142"/>
        </w:trPr>
        <w:tc>
          <w:tcPr>
            <w:tcW w:w="9000" w:type="dxa"/>
            <w:vAlign w:val="bottom"/>
          </w:tcPr>
          <w:p>
            <w:pPr>
              <w:ind w:left="20"/>
              <w:spacing w:after="0"/>
              <w:rPr>
                <w:sz w:val="20"/>
                <w:szCs w:val="20"/>
                <w:color w:val="auto"/>
              </w:rPr>
            </w:pPr>
            <w:r>
              <w:rPr>
                <w:rFonts w:ascii="Arial" w:cs="Arial" w:eastAsia="Arial" w:hAnsi="Arial"/>
                <w:sz w:val="11"/>
                <w:szCs w:val="11"/>
                <w:color w:val="auto"/>
              </w:rPr>
              <w:t>Interest receivable</w:t>
            </w:r>
          </w:p>
        </w:tc>
        <w:tc>
          <w:tcPr>
            <w:tcW w:w="480" w:type="dxa"/>
            <w:vAlign w:val="bottom"/>
          </w:tcPr>
          <w:p>
            <w:pPr>
              <w:spacing w:after="0"/>
              <w:rPr>
                <w:sz w:val="12"/>
                <w:szCs w:val="12"/>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11,002</w:t>
            </w:r>
          </w:p>
        </w:tc>
      </w:tr>
      <w:tr>
        <w:trPr>
          <w:trHeight w:val="20"/>
        </w:trPr>
        <w:tc>
          <w:tcPr>
            <w:tcW w:w="9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surrender value of life insurance</w:t>
            </w:r>
          </w:p>
        </w:tc>
        <w:tc>
          <w:tcPr>
            <w:tcW w:w="48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63,626</w:t>
            </w:r>
          </w:p>
        </w:tc>
      </w:tr>
      <w:tr>
        <w:trPr>
          <w:trHeight w:val="152"/>
        </w:trPr>
        <w:tc>
          <w:tcPr>
            <w:tcW w:w="9000" w:type="dxa"/>
            <w:vAlign w:val="bottom"/>
          </w:tcPr>
          <w:p>
            <w:pPr>
              <w:ind w:left="20"/>
              <w:spacing w:after="0"/>
              <w:rPr>
                <w:sz w:val="20"/>
                <w:szCs w:val="20"/>
                <w:color w:val="auto"/>
              </w:rPr>
            </w:pPr>
            <w:r>
              <w:rPr>
                <w:rFonts w:ascii="Arial" w:cs="Arial" w:eastAsia="Arial" w:hAnsi="Arial"/>
                <w:sz w:val="11"/>
                <w:szCs w:val="11"/>
                <w:color w:val="auto"/>
              </w:rPr>
              <w:t>Tax asset, deferred and receivable</w:t>
            </w:r>
          </w:p>
        </w:tc>
        <w:tc>
          <w:tcPr>
            <w:tcW w:w="480" w:type="dxa"/>
            <w:vAlign w:val="bottom"/>
          </w:tcPr>
          <w:p>
            <w:pPr>
              <w:spacing w:after="0"/>
              <w:rPr>
                <w:sz w:val="13"/>
                <w:szCs w:val="13"/>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22,862</w:t>
            </w:r>
          </w:p>
        </w:tc>
      </w:tr>
      <w:tr>
        <w:trPr>
          <w:trHeight w:val="15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48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26,488</w:t>
            </w:r>
          </w:p>
        </w:tc>
      </w:tr>
      <w:tr>
        <w:trPr>
          <w:trHeight w:val="142"/>
        </w:trPr>
        <w:tc>
          <w:tcPr>
            <w:tcW w:w="9000" w:type="dxa"/>
            <w:vAlign w:val="bottom"/>
          </w:tcPr>
          <w:p>
            <w:pPr>
              <w:ind w:left="20"/>
              <w:spacing w:after="0"/>
              <w:rPr>
                <w:sz w:val="20"/>
                <w:szCs w:val="20"/>
                <w:color w:val="auto"/>
              </w:rPr>
            </w:pPr>
            <w:r>
              <w:rPr>
                <w:rFonts w:ascii="Arial" w:cs="Arial" w:eastAsia="Arial" w:hAnsi="Arial"/>
                <w:sz w:val="11"/>
                <w:szCs w:val="11"/>
                <w:color w:val="auto"/>
              </w:rPr>
              <w:t>Deposits</w:t>
            </w:r>
          </w:p>
        </w:tc>
        <w:tc>
          <w:tcPr>
            <w:tcW w:w="48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(1,690,130)</w:t>
            </w:r>
          </w:p>
        </w:tc>
      </w:tr>
      <w:tr>
        <w:trPr>
          <w:trHeight w:val="20"/>
        </w:trPr>
        <w:tc>
          <w:tcPr>
            <w:tcW w:w="9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62"/>
        </w:trPr>
        <w:tc>
          <w:tcPr>
            <w:tcW w:w="9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Federal Home Loan Bank advances</w:t>
            </w:r>
          </w:p>
        </w:tc>
        <w:tc>
          <w:tcPr>
            <w:tcW w:w="48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(482,729)</w:t>
            </w:r>
          </w:p>
        </w:tc>
      </w:tr>
      <w:tr>
        <w:trPr>
          <w:trHeight w:val="142"/>
        </w:trPr>
        <w:tc>
          <w:tcPr>
            <w:tcW w:w="9000" w:type="dxa"/>
            <w:vAlign w:val="bottom"/>
          </w:tcPr>
          <w:p>
            <w:pPr>
              <w:ind w:left="20"/>
              <w:spacing w:after="0"/>
              <w:rPr>
                <w:sz w:val="20"/>
                <w:szCs w:val="20"/>
                <w:color w:val="auto"/>
              </w:rPr>
            </w:pPr>
            <w:r>
              <w:rPr>
                <w:rFonts w:ascii="Arial" w:cs="Arial" w:eastAsia="Arial" w:hAnsi="Arial"/>
                <w:sz w:val="11"/>
                <w:szCs w:val="11"/>
                <w:color w:val="auto"/>
              </w:rPr>
              <w:t>Subordinated notes</w:t>
            </w:r>
          </w:p>
        </w:tc>
        <w:tc>
          <w:tcPr>
            <w:tcW w:w="48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(28,712)</w:t>
            </w:r>
          </w:p>
        </w:tc>
      </w:tr>
      <w:tr>
        <w:trPr>
          <w:trHeight w:val="20"/>
        </w:trPr>
        <w:tc>
          <w:tcPr>
            <w:tcW w:w="9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42"/>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payable</w:t>
            </w:r>
          </w:p>
        </w:tc>
        <w:tc>
          <w:tcPr>
            <w:tcW w:w="48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(5,930)</w:t>
            </w:r>
          </w:p>
        </w:tc>
      </w:tr>
      <w:tr>
        <w:trPr>
          <w:trHeight w:val="156"/>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4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(13,766)</w:t>
            </w:r>
          </w:p>
        </w:tc>
      </w:tr>
      <w:tr>
        <w:trPr>
          <w:trHeight w:val="162"/>
        </w:trPr>
        <w:tc>
          <w:tcPr>
            <w:tcW w:w="9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tangible assets acquired</w:t>
            </w:r>
          </w:p>
        </w:tc>
        <w:tc>
          <w:tcPr>
            <w:tcW w:w="480" w:type="dxa"/>
            <w:vAlign w:val="bottom"/>
            <w:shd w:val="clear" w:color="auto" w:fill="CCEEFF"/>
          </w:tcPr>
          <w:p>
            <w:pPr>
              <w:spacing w:after="0"/>
              <w:rPr>
                <w:sz w:val="14"/>
                <w:szCs w:val="14"/>
                <w:color w:val="auto"/>
              </w:rPr>
            </w:pPr>
          </w:p>
        </w:tc>
        <w:tc>
          <w:tcPr>
            <w:tcW w:w="1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136,857</w:t>
            </w:r>
          </w:p>
        </w:tc>
      </w:tr>
      <w:tr>
        <w:trPr>
          <w:trHeight w:val="152"/>
        </w:trPr>
        <w:tc>
          <w:tcPr>
            <w:tcW w:w="9000" w:type="dxa"/>
            <w:vAlign w:val="bottom"/>
          </w:tcPr>
          <w:p>
            <w:pPr>
              <w:ind w:left="20"/>
              <w:spacing w:after="0"/>
              <w:rPr>
                <w:sz w:val="20"/>
                <w:szCs w:val="20"/>
                <w:color w:val="auto"/>
              </w:rPr>
            </w:pPr>
            <w:r>
              <w:rPr>
                <w:rFonts w:ascii="Arial" w:cs="Arial" w:eastAsia="Arial" w:hAnsi="Arial"/>
                <w:sz w:val="11"/>
                <w:szCs w:val="11"/>
                <w:color w:val="auto"/>
              </w:rPr>
              <w:t>Other intangibles</w:t>
            </w:r>
          </w:p>
        </w:tc>
        <w:tc>
          <w:tcPr>
            <w:tcW w:w="480" w:type="dxa"/>
            <w:vAlign w:val="bottom"/>
          </w:tcPr>
          <w:p>
            <w:pPr>
              <w:spacing w:after="0"/>
              <w:rPr>
                <w:sz w:val="13"/>
                <w:szCs w:val="13"/>
                <w:color w:val="auto"/>
              </w:rPr>
            </w:pPr>
          </w:p>
        </w:tc>
        <w:tc>
          <w:tcPr>
            <w:tcW w:w="1760" w:type="dxa"/>
            <w:vAlign w:val="bottom"/>
          </w:tcPr>
          <w:p>
            <w:pPr>
              <w:jc w:val="right"/>
              <w:ind w:right="6"/>
              <w:spacing w:after="0"/>
              <w:rPr>
                <w:sz w:val="20"/>
                <w:szCs w:val="20"/>
                <w:color w:val="auto"/>
              </w:rPr>
            </w:pPr>
            <w:r>
              <w:rPr>
                <w:rFonts w:ascii="Arial" w:cs="Arial" w:eastAsia="Arial" w:hAnsi="Arial"/>
                <w:sz w:val="11"/>
                <w:szCs w:val="11"/>
                <w:color w:val="auto"/>
              </w:rPr>
              <w:t>30,180</w:t>
            </w:r>
          </w:p>
        </w:tc>
      </w:tr>
      <w:tr>
        <w:trPr>
          <w:trHeight w:val="165"/>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48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76,184</w:t>
            </w:r>
          </w:p>
        </w:tc>
      </w:tr>
      <w:tr>
        <w:trPr>
          <w:trHeight w:val="162"/>
        </w:trPr>
        <w:tc>
          <w:tcPr>
            <w:tcW w:w="9000" w:type="dxa"/>
            <w:vAlign w:val="bottom"/>
          </w:tcPr>
          <w:p>
            <w:pPr>
              <w:ind w:left="20"/>
              <w:spacing w:after="0"/>
              <w:rPr>
                <w:sz w:val="20"/>
                <w:szCs w:val="20"/>
                <w:color w:val="auto"/>
              </w:rPr>
            </w:pPr>
            <w:r>
              <w:rPr>
                <w:rFonts w:ascii="Arial" w:cs="Arial" w:eastAsia="Arial" w:hAnsi="Arial"/>
                <w:sz w:val="11"/>
                <w:szCs w:val="11"/>
                <w:color w:val="auto"/>
              </w:rPr>
              <w:t>Purchase price</w:t>
            </w:r>
          </w:p>
        </w:tc>
        <w:tc>
          <w:tcPr>
            <w:tcW w:w="4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w w:val="97"/>
              </w:rPr>
              <w:t>$</w:t>
            </w:r>
          </w:p>
        </w:tc>
        <w:tc>
          <w:tcPr>
            <w:tcW w:w="1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243,221</w:t>
            </w:r>
          </w:p>
        </w:tc>
      </w:tr>
      <w:tr>
        <w:trPr>
          <w:trHeight w:val="20"/>
        </w:trPr>
        <w:tc>
          <w:tcPr>
            <w:tcW w:w="9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description of the methods used to determine the fair values of the most significant assets acquired and liabilities assumed.</w:t>
      </w:r>
    </w:p>
    <w:p>
      <w:pPr>
        <w:spacing w:after="0" w:line="258"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i w:val="1"/>
          <w:iCs w:val="1"/>
          <w:color w:val="auto"/>
        </w:rPr>
        <w:t xml:space="preserve">Investment securities: </w:t>
      </w:r>
      <w:r>
        <w:rPr>
          <w:rFonts w:ascii="Arial" w:cs="Arial" w:eastAsia="Arial" w:hAnsi="Arial"/>
          <w:sz w:val="14"/>
          <w:szCs w:val="14"/>
          <w:color w:val="auto"/>
        </w:rPr>
        <w:t>The acquisition-date fair values of the First Savings investment securities were primarily based on actual transaction prices from the subsequent sale of</w:t>
      </w:r>
      <w:r>
        <w:rPr>
          <w:rFonts w:ascii="Arial" w:cs="Arial" w:eastAsia="Arial" w:hAnsi="Arial"/>
          <w:sz w:val="14"/>
          <w:szCs w:val="14"/>
          <w:i w:val="1"/>
          <w:iCs w:val="1"/>
          <w:color w:val="auto"/>
        </w:rPr>
        <w:t xml:space="preserve"> </w:t>
      </w:r>
      <w:r>
        <w:rPr>
          <w:rFonts w:ascii="Arial" w:cs="Arial" w:eastAsia="Arial" w:hAnsi="Arial"/>
          <w:sz w:val="14"/>
          <w:szCs w:val="14"/>
          <w:color w:val="auto"/>
        </w:rPr>
        <w:t>the acquired securities, which occurred shortly after legal close. Securities not included in the sale were separately identified and valued using available market information.</w:t>
      </w:r>
    </w:p>
    <w:p>
      <w:pPr>
        <w:spacing w:after="0" w:line="140" w:lineRule="exact"/>
        <w:rPr>
          <w:sz w:val="20"/>
          <w:szCs w:val="20"/>
          <w:color w:val="auto"/>
        </w:rPr>
      </w:pPr>
    </w:p>
    <w:p>
      <w:pPr>
        <w:ind w:right="40"/>
        <w:spacing w:after="0" w:line="185" w:lineRule="exact"/>
        <w:rPr>
          <w:sz w:val="20"/>
          <w:szCs w:val="20"/>
          <w:color w:val="auto"/>
        </w:rPr>
      </w:pPr>
      <w:r>
        <w:rPr>
          <w:rFonts w:ascii="Arial" w:cs="Arial" w:eastAsia="Arial" w:hAnsi="Arial"/>
          <w:sz w:val="14"/>
          <w:szCs w:val="14"/>
          <w:i w:val="1"/>
          <w:iCs w:val="1"/>
          <w:color w:val="auto"/>
        </w:rPr>
        <w:t>Loans and allowance for credit losses - loans</w:t>
      </w:r>
      <w:r>
        <w:rPr>
          <w:rFonts w:ascii="Arial" w:cs="Arial" w:eastAsia="Arial" w:hAnsi="Arial"/>
          <w:sz w:val="14"/>
          <w:szCs w:val="14"/>
          <w:color w:val="auto"/>
        </w:rPr>
        <w:t>: The Corporation early adopted ASU 2025</w:t>
      </w:r>
      <w:r>
        <w:rPr>
          <w:rFonts w:ascii="MS PGothic" w:cs="MS PGothic" w:eastAsia="MS PGothic" w:hAnsi="MS PGothic"/>
          <w:sz w:val="14"/>
          <w:szCs w:val="14"/>
          <w:color w:val="auto"/>
        </w:rPr>
        <w:t>‑</w:t>
      </w:r>
      <w:r>
        <w:rPr>
          <w:rFonts w:ascii="Arial" w:cs="Arial" w:eastAsia="Arial" w:hAnsi="Arial"/>
          <w:sz w:val="14"/>
          <w:szCs w:val="14"/>
          <w:color w:val="auto"/>
        </w:rPr>
        <w:t>08,</w:t>
      </w:r>
      <w:r>
        <w:rPr>
          <w:rFonts w:ascii="Arial" w:cs="Arial" w:eastAsia="Arial" w:hAnsi="Arial"/>
          <w:sz w:val="14"/>
          <w:szCs w:val="14"/>
          <w:i w:val="1"/>
          <w:iCs w:val="1"/>
          <w:color w:val="auto"/>
        </w:rPr>
        <w:t xml:space="preserve"> Financial Instruments – Credit Losses (Topic 326): Purchased Loans</w:t>
      </w:r>
      <w:r>
        <w:rPr>
          <w:rFonts w:ascii="Arial" w:cs="Arial" w:eastAsia="Arial" w:hAnsi="Arial"/>
          <w:sz w:val="14"/>
          <w:szCs w:val="14"/>
          <w:color w:val="auto"/>
        </w:rPr>
        <w:t>, for the First</w:t>
      </w:r>
      <w:r>
        <w:rPr>
          <w:rFonts w:ascii="Arial" w:cs="Arial" w:eastAsia="Arial" w:hAnsi="Arial"/>
          <w:sz w:val="14"/>
          <w:szCs w:val="14"/>
          <w:i w:val="1"/>
          <w:iCs w:val="1"/>
          <w:color w:val="auto"/>
        </w:rPr>
        <w:t xml:space="preserve"> </w:t>
      </w:r>
      <w:r>
        <w:rPr>
          <w:rFonts w:ascii="Arial" w:cs="Arial" w:eastAsia="Arial" w:hAnsi="Arial"/>
          <w:sz w:val="14"/>
          <w:szCs w:val="14"/>
          <w:color w:val="auto"/>
        </w:rPr>
        <w:t>Savings acquisition. Under this guidance, acquired loans were initially recognized using the acquisition</w:t>
      </w:r>
      <w:r>
        <w:rPr>
          <w:rFonts w:ascii="MS PGothic" w:cs="MS PGothic" w:eastAsia="MS PGothic" w:hAnsi="MS PGothic"/>
          <w:sz w:val="14"/>
          <w:szCs w:val="14"/>
          <w:color w:val="auto"/>
        </w:rPr>
        <w:t>‑</w:t>
      </w:r>
      <w:r>
        <w:rPr>
          <w:rFonts w:ascii="Arial" w:cs="Arial" w:eastAsia="Arial" w:hAnsi="Arial"/>
          <w:sz w:val="14"/>
          <w:szCs w:val="14"/>
          <w:color w:val="auto"/>
        </w:rPr>
        <w:t>date gross</w:t>
      </w:r>
      <w:r>
        <w:rPr>
          <w:rFonts w:ascii="MS PGothic" w:cs="MS PGothic" w:eastAsia="MS PGothic" w:hAnsi="MS PGothic"/>
          <w:sz w:val="14"/>
          <w:szCs w:val="14"/>
          <w:color w:val="auto"/>
        </w:rPr>
        <w:t>‑</w:t>
      </w:r>
      <w:r>
        <w:rPr>
          <w:rFonts w:ascii="Arial" w:cs="Arial" w:eastAsia="Arial" w:hAnsi="Arial"/>
          <w:sz w:val="14"/>
          <w:szCs w:val="14"/>
          <w:color w:val="auto"/>
        </w:rPr>
        <w:t>up method. At the acquisition date, the Corporation established an acquisition-date allowance for credit losses of $22.3 million, consisting of $15.2 million related to purchased seasoned loans and $7.1 million related to loans that had experienced more-than-insignificant deterioration in credit quality since origination. The acquisition-date allowance was added to the initial amortized cost basis of the acquired loans rather than recognized as a credit-related fair value discount.</w:t>
      </w:r>
    </w:p>
    <w:p>
      <w:pPr>
        <w:spacing w:after="0" w:line="216"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The Corporation also recorded a non-credit fair value discount of $53.1 million on acquired loans. The acquisition-date fair values were determined using a discounted cash flow methodology. Loans with similar characteristics were pooled, and projected contractual cash flows, adjusted for estimated prepayments, were discounted using current market rates for comparable loans, including applicable liquidity and marketability adjustments. The resulting non-credit fair value discount primarily reflected differences between the contractual interest rates on the acquired loans and current market rates for comparable loans as of the acquisition date. The non-credit fair value discount is being accreted into interest income over the estimated lives of the related loans.</w:t>
      </w:r>
    </w:p>
    <w:p>
      <w:pPr>
        <w:spacing w:after="0" w:line="163" w:lineRule="exact"/>
        <w:rPr>
          <w:sz w:val="20"/>
          <w:szCs w:val="20"/>
          <w:color w:val="auto"/>
        </w:rPr>
      </w:pPr>
    </w:p>
    <w:p>
      <w:pPr>
        <w:ind w:right="380"/>
        <w:spacing w:after="0" w:line="185" w:lineRule="exact"/>
        <w:rPr>
          <w:sz w:val="20"/>
          <w:szCs w:val="20"/>
          <w:color w:val="auto"/>
        </w:rPr>
      </w:pPr>
      <w:r>
        <w:rPr>
          <w:rFonts w:ascii="Arial" w:cs="Arial" w:eastAsia="Arial" w:hAnsi="Arial"/>
          <w:sz w:val="14"/>
          <w:szCs w:val="14"/>
          <w:color w:val="auto"/>
        </w:rPr>
        <w:t>For acquired loans that exhibited more</w:t>
      </w:r>
      <w:r>
        <w:rPr>
          <w:rFonts w:ascii="MS PGothic" w:cs="MS PGothic" w:eastAsia="MS PGothic" w:hAnsi="MS PGothic"/>
          <w:sz w:val="14"/>
          <w:szCs w:val="14"/>
          <w:color w:val="auto"/>
        </w:rPr>
        <w:t>‑</w:t>
      </w:r>
      <w:r>
        <w:rPr>
          <w:rFonts w:ascii="Arial" w:cs="Arial" w:eastAsia="Arial" w:hAnsi="Arial"/>
          <w:sz w:val="14"/>
          <w:szCs w:val="14"/>
          <w:color w:val="auto"/>
        </w:rPr>
        <w:t>than</w:t>
      </w:r>
      <w:r>
        <w:rPr>
          <w:rFonts w:ascii="MS PGothic" w:cs="MS PGothic" w:eastAsia="MS PGothic" w:hAnsi="MS PGothic"/>
          <w:sz w:val="14"/>
          <w:szCs w:val="14"/>
          <w:color w:val="auto"/>
        </w:rPr>
        <w:t>‑</w:t>
      </w:r>
      <w:r>
        <w:rPr>
          <w:rFonts w:ascii="Arial" w:cs="Arial" w:eastAsia="Arial" w:hAnsi="Arial"/>
          <w:sz w:val="14"/>
          <w:szCs w:val="14"/>
          <w:color w:val="auto"/>
        </w:rPr>
        <w:t>insignificant deterioration in credit quality since origination, the Corporation identified acquisition</w:t>
      </w:r>
      <w:r>
        <w:rPr>
          <w:rFonts w:ascii="MS PGothic" w:cs="MS PGothic" w:eastAsia="MS PGothic" w:hAnsi="MS PGothic"/>
          <w:sz w:val="14"/>
          <w:szCs w:val="14"/>
          <w:color w:val="auto"/>
        </w:rPr>
        <w:t>‑</w:t>
      </w:r>
      <w:r>
        <w:rPr>
          <w:rFonts w:ascii="Arial" w:cs="Arial" w:eastAsia="Arial" w:hAnsi="Arial"/>
          <w:sz w:val="14"/>
          <w:szCs w:val="14"/>
          <w:color w:val="auto"/>
        </w:rPr>
        <w:t>date expected credit losses, representing the present value of expected credit-related losses over the life of the loans, which were recognized as an allowance for credit losses at acquisition with a corresponding increase to the loans’ amortized cost basis. Subsequent changes in expected credit losses on acquired loans are recognized through the provision for credit losses in accordance with ASC 326. Additional information regarding the acquired loan portfolio and allowance for credit losses is provided in NOTE 4. LOANS AND ALLOWANCE FOR CREDIT LOSSES.</w:t>
      </w:r>
    </w:p>
    <w:p>
      <w:pPr>
        <w:spacing w:after="0" w:line="216" w:lineRule="exact"/>
        <w:rPr>
          <w:sz w:val="20"/>
          <w:szCs w:val="20"/>
          <w:color w:val="auto"/>
        </w:rPr>
      </w:pPr>
    </w:p>
    <w:p>
      <w:pPr>
        <w:ind w:right="300"/>
        <w:spacing w:after="0" w:line="276" w:lineRule="auto"/>
        <w:rPr>
          <w:sz w:val="20"/>
          <w:szCs w:val="20"/>
          <w:color w:val="auto"/>
        </w:rPr>
      </w:pPr>
      <w:r>
        <w:rPr>
          <w:rFonts w:ascii="Arial" w:cs="Arial" w:eastAsia="Arial" w:hAnsi="Arial"/>
          <w:sz w:val="14"/>
          <w:szCs w:val="14"/>
          <w:i w:val="1"/>
          <w:iCs w:val="1"/>
          <w:color w:val="auto"/>
        </w:rPr>
        <w:t xml:space="preserve">Deposits: </w:t>
      </w:r>
      <w:r>
        <w:rPr>
          <w:rFonts w:ascii="Arial" w:cs="Arial" w:eastAsia="Arial" w:hAnsi="Arial"/>
          <w:sz w:val="14"/>
          <w:szCs w:val="14"/>
          <w:color w:val="auto"/>
        </w:rPr>
        <w:t>The fair value of transaction and savings accounts were equal to their carrying values. The fair value of time deposits and brokered certificates of deposit were</w:t>
      </w:r>
      <w:r>
        <w:rPr>
          <w:rFonts w:ascii="Arial" w:cs="Arial" w:eastAsia="Arial" w:hAnsi="Arial"/>
          <w:sz w:val="14"/>
          <w:szCs w:val="14"/>
          <w:i w:val="1"/>
          <w:iCs w:val="1"/>
          <w:color w:val="auto"/>
        </w:rPr>
        <w:t xml:space="preserve"> </w:t>
      </w:r>
      <w:r>
        <w:rPr>
          <w:rFonts w:ascii="Arial" w:cs="Arial" w:eastAsia="Arial" w:hAnsi="Arial"/>
          <w:sz w:val="14"/>
          <w:szCs w:val="14"/>
          <w:color w:val="auto"/>
        </w:rPr>
        <w:t>calculated using a discounted cash flow analysis that calculated the present value of the projected cash flows from the portfolio. The portfolio of time deposits and brokered certificates of deposit were valued at a pre-tax discount of $0.9 million. The discount is being amortized as an increase in interest expense over the remaining life of the time deposits and brokered certificates of deposit.</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line="283" w:lineRule="auto"/>
        <w:rPr>
          <w:sz w:val="20"/>
          <w:szCs w:val="20"/>
          <w:color w:val="auto"/>
        </w:rPr>
      </w:pPr>
      <w:r>
        <w:rPr>
          <w:rFonts w:ascii="Arial" w:cs="Arial" w:eastAsia="Arial" w:hAnsi="Arial"/>
          <w:sz w:val="14"/>
          <w:szCs w:val="14"/>
          <w:i w:val="1"/>
          <w:iCs w:val="1"/>
          <w:color w:val="auto"/>
        </w:rPr>
        <w:t xml:space="preserve">FHLB advances: </w:t>
      </w:r>
      <w:r>
        <w:rPr>
          <w:rFonts w:ascii="Arial" w:cs="Arial" w:eastAsia="Arial" w:hAnsi="Arial"/>
          <w:sz w:val="14"/>
          <w:szCs w:val="14"/>
          <w:color w:val="auto"/>
        </w:rPr>
        <w:t>The estimated fair values were based on discounted cash flows using current market rates for FHLB advances with similar remaining maturities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contractual terms. The portfolio of FHLB advances were valued at a pre-tax premium of $0.7 million. The premium is being amortized as a decrease in interest expense over the remaining life of the FHLB advances.</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4"/>
          <w:szCs w:val="14"/>
          <w:i w:val="1"/>
          <w:iCs w:val="1"/>
          <w:color w:val="auto"/>
        </w:rPr>
        <w:t xml:space="preserve">Other intangibles: </w:t>
      </w:r>
      <w:r>
        <w:rPr>
          <w:rFonts w:ascii="Arial" w:cs="Arial" w:eastAsia="Arial" w:hAnsi="Arial"/>
          <w:sz w:val="14"/>
          <w:szCs w:val="14"/>
          <w:color w:val="auto"/>
        </w:rPr>
        <w:t>Of the total purchase price, $30.2 million was allocated to identifiable intangible assets. Approximately $29.4 million was allocated to a core deposit intangible,</w:t>
      </w:r>
      <w:r>
        <w:rPr>
          <w:rFonts w:ascii="Arial" w:cs="Arial" w:eastAsia="Arial" w:hAnsi="Arial"/>
          <w:sz w:val="14"/>
          <w:szCs w:val="14"/>
          <w:i w:val="1"/>
          <w:iCs w:val="1"/>
          <w:color w:val="auto"/>
        </w:rPr>
        <w:t xml:space="preserve"> </w:t>
      </w:r>
      <w:r>
        <w:rPr>
          <w:rFonts w:ascii="Arial" w:cs="Arial" w:eastAsia="Arial" w:hAnsi="Arial"/>
          <w:sz w:val="14"/>
          <w:szCs w:val="14"/>
          <w:color w:val="auto"/>
        </w:rPr>
        <w:t>which is being amortized over an estimated useful life of 10 years, and approximately $0.8 million was allocated to a non-compete intangible, which is being amortized over an estimated useful life of one year. The remaining purchase price was allocated to goodwill, which is not deductible for tax purposes. The core deposit intangible valuation employed a discounted cash flow analysis to determine the market value of the acquired core deposits that gave appropriate consideration to expected customer attrition rates, net maintenance cost of the deposit base, alternative cost of funds, and the interest costs associated with customer deposits.</w:t>
      </w:r>
    </w:p>
    <w:p>
      <w:pPr>
        <w:spacing w:after="0" w:line="195"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Goodwill primarily represents the expected synergies from combining First Savings’ operations with the Corporation’s existing franchise, including anticipated cost savings, revenue enhancement opportunities, and the value of the assembled workforce, none of which qualify for separate recognition under GAAP. Additional factors contributing to goodwill include the expansion of the Corporation’s geographic footprint in southern Indiana and the acquired core customer relationships.</w:t>
      </w:r>
    </w:p>
    <w:p>
      <w:pPr>
        <w:spacing w:after="0" w:line="169"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Integration and Transaction</w:t>
      </w:r>
      <w:r>
        <w:rPr>
          <w:rFonts w:ascii="MS PGothic" w:cs="MS PGothic" w:eastAsia="MS PGothic" w:hAnsi="MS PGothic"/>
          <w:sz w:val="14"/>
          <w:szCs w:val="14"/>
          <w:color w:val="auto"/>
          <w:strike w:val="1"/>
        </w:rPr>
        <w:t>‑</w:t>
      </w:r>
      <w:r>
        <w:rPr>
          <w:rFonts w:ascii="Arial" w:cs="Arial" w:eastAsia="Arial" w:hAnsi="Arial"/>
          <w:sz w:val="14"/>
          <w:szCs w:val="14"/>
          <w:b w:val="1"/>
          <w:bCs w:val="1"/>
          <w:color w:val="auto"/>
        </w:rPr>
        <w:t>Related Expenses</w:t>
      </w:r>
    </w:p>
    <w:p>
      <w:pPr>
        <w:spacing w:after="0" w:line="258" w:lineRule="exact"/>
        <w:rPr>
          <w:sz w:val="20"/>
          <w:szCs w:val="20"/>
          <w:color w:val="auto"/>
        </w:rPr>
      </w:pPr>
    </w:p>
    <w:p>
      <w:pPr>
        <w:ind w:right="40"/>
        <w:spacing w:after="0" w:line="181" w:lineRule="exact"/>
        <w:rPr>
          <w:sz w:val="20"/>
          <w:szCs w:val="20"/>
          <w:color w:val="auto"/>
        </w:rPr>
      </w:pPr>
      <w:r>
        <w:rPr>
          <w:rFonts w:ascii="Arial" w:cs="Arial" w:eastAsia="Arial" w:hAnsi="Arial"/>
          <w:sz w:val="14"/>
          <w:szCs w:val="14"/>
          <w:color w:val="auto"/>
        </w:rPr>
        <w:t>During the three and nine months ended September 30, 2026, the Corporation recorded $0.9 million and $21.7 million, respectively, of integration and transaction</w:t>
      </w:r>
      <w:r>
        <w:rPr>
          <w:rFonts w:ascii="MS PGothic" w:cs="MS PGothic" w:eastAsia="MS PGothic" w:hAnsi="MS PGothic"/>
          <w:sz w:val="14"/>
          <w:szCs w:val="14"/>
          <w:color w:val="auto"/>
        </w:rPr>
        <w:t>‑</w:t>
      </w:r>
      <w:r>
        <w:rPr>
          <w:rFonts w:ascii="Arial" w:cs="Arial" w:eastAsia="Arial" w:hAnsi="Arial"/>
          <w:sz w:val="14"/>
          <w:szCs w:val="14"/>
          <w:color w:val="auto"/>
        </w:rPr>
        <w:t xml:space="preserve"> related expenses. During the three months ended September 30, 2026, these expenses comprised $0.6 million of contract termination and similar charges, $0.2 million of other integration-related expenditures, and $0.1 million of salaries and benefits. During the nine months ended September 30, 2026, these costs consisted primarily of $11.2 million of contract termination and similar charges, $5.9 million of salaries and benefits, and $3.0 million of acquisition-related professional and advisory services. Acquisition</w:t>
      </w:r>
      <w:r>
        <w:rPr>
          <w:rFonts w:ascii="MS PGothic" w:cs="MS PGothic" w:eastAsia="MS PGothic" w:hAnsi="MS PGothic"/>
          <w:sz w:val="14"/>
          <w:szCs w:val="14"/>
          <w:color w:val="auto"/>
        </w:rPr>
        <w:t>‑</w:t>
      </w:r>
      <w:r>
        <w:rPr>
          <w:rFonts w:ascii="Arial" w:cs="Arial" w:eastAsia="Arial" w:hAnsi="Arial"/>
          <w:sz w:val="14"/>
          <w:szCs w:val="14"/>
          <w:color w:val="auto"/>
        </w:rPr>
        <w:t>related professional and advisory services primarily related to investment banking, legal, and valuation services incurred to effect the acquisition. Contract termination and similar charges primarily related to the early termination of vendor and service agreements and core systems and software arrangements as part of post</w:t>
      </w:r>
      <w:r>
        <w:rPr>
          <w:rFonts w:ascii="MS PGothic" w:cs="MS PGothic" w:eastAsia="MS PGothic" w:hAnsi="MS PGothic"/>
          <w:sz w:val="14"/>
          <w:szCs w:val="14"/>
          <w:color w:val="auto"/>
        </w:rPr>
        <w:t>‑</w:t>
      </w:r>
      <w:r>
        <w:rPr>
          <w:rFonts w:ascii="Arial" w:cs="Arial" w:eastAsia="Arial" w:hAnsi="Arial"/>
          <w:sz w:val="14"/>
          <w:szCs w:val="14"/>
          <w:color w:val="auto"/>
        </w:rPr>
        <w:t>acquisition integration activities. Salaries and benefits primarily related to employee retention and severance arrangements associated with post</w:t>
      </w:r>
      <w:r>
        <w:rPr>
          <w:rFonts w:ascii="MS PGothic" w:cs="MS PGothic" w:eastAsia="MS PGothic" w:hAnsi="MS PGothic"/>
          <w:sz w:val="14"/>
          <w:szCs w:val="14"/>
          <w:color w:val="auto"/>
        </w:rPr>
        <w:t>‑</w:t>
      </w:r>
      <w:r>
        <w:rPr>
          <w:rFonts w:ascii="Arial" w:cs="Arial" w:eastAsia="Arial" w:hAnsi="Arial"/>
          <w:sz w:val="14"/>
          <w:szCs w:val="14"/>
          <w:color w:val="auto"/>
        </w:rPr>
        <w:t>acquisition integration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First Savings Since Acquisition</w:t>
      </w:r>
    </w:p>
    <w:p>
      <w:pPr>
        <w:spacing w:after="0" w:line="258"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The Corporation's results of operations for the three and nine months ended September 30, 2026 include the operating results of the acquired assets and assumed liabilities of First Savings subsequent to the acquisition on February 1, 2026. Due to the integration of certain processes and the conversion of operational systems during the second quarter of 2026, the Corporation determined that separately identifying the revenue and earnings attributable solely to legacy First Savings subsequent to the acquisition date is impracticable.</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 Forma Financial Information</w:t>
      </w:r>
    </w:p>
    <w:p>
      <w:pPr>
        <w:spacing w:after="0" w:line="258"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The results of operations of First Savings have been included in the Corporation's consolidated financial statements since the acquisition date. The following schedule presents unaudited pro forma results for the nine months ended September 30, 2026 and the year ended December 31, 2025, as if the First Savings acquisition had occurred at the beginning of the periods presented.</w:t>
      </w:r>
    </w:p>
    <w:p>
      <w:pPr>
        <w:spacing w:after="0" w:line="186"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auto"/>
        </w:rPr>
        <w:t>The unaudited pro forma financial information includes adjustments for interest income on loans, interest expense on deposits and borrowings, premises expense related to the acquired real estate, amortization of intangible assets arising from the transaction and the related income tax effects.</w:t>
      </w:r>
    </w:p>
    <w:p>
      <w:pPr>
        <w:spacing w:after="0" w:line="153" w:lineRule="exact"/>
        <w:rPr>
          <w:sz w:val="20"/>
          <w:szCs w:val="20"/>
          <w:color w:val="auto"/>
        </w:rPr>
      </w:pPr>
    </w:p>
    <w:p>
      <w:pPr>
        <w:ind w:right="60"/>
        <w:spacing w:after="0" w:line="184" w:lineRule="exact"/>
        <w:rPr>
          <w:sz w:val="20"/>
          <w:szCs w:val="20"/>
          <w:color w:val="auto"/>
        </w:rPr>
      </w:pPr>
      <w:r>
        <w:rPr>
          <w:rFonts w:ascii="Arial" w:cs="Arial" w:eastAsia="Arial" w:hAnsi="Arial"/>
          <w:sz w:val="14"/>
          <w:szCs w:val="14"/>
          <w:color w:val="auto"/>
        </w:rPr>
        <w:t>The pro forma financial information for the nine months ended September 30, 2026 excludes certain non</w:t>
      </w:r>
      <w:r>
        <w:rPr>
          <w:rFonts w:ascii="MS PGothic" w:cs="MS PGothic" w:eastAsia="MS PGothic" w:hAnsi="MS PGothic"/>
          <w:sz w:val="14"/>
          <w:szCs w:val="14"/>
          <w:color w:val="auto"/>
        </w:rPr>
        <w:t>‑</w:t>
      </w:r>
      <w:r>
        <w:rPr>
          <w:rFonts w:ascii="Arial" w:cs="Arial" w:eastAsia="Arial" w:hAnsi="Arial"/>
          <w:sz w:val="14"/>
          <w:szCs w:val="14"/>
          <w:color w:val="auto"/>
        </w:rPr>
        <w:t xml:space="preserve"> recurring charges recognized by First Savings during January 2026, prior to the February 1, 2026 acquisition date. These charges primarily relate to the write</w:t>
      </w:r>
      <w:r>
        <w:rPr>
          <w:rFonts w:ascii="MS PGothic" w:cs="MS PGothic" w:eastAsia="MS PGothic" w:hAnsi="MS PGothic"/>
          <w:sz w:val="14"/>
          <w:szCs w:val="14"/>
          <w:color w:val="auto"/>
        </w:rPr>
        <w:t>‑</w:t>
      </w:r>
      <w:r>
        <w:rPr>
          <w:rFonts w:ascii="Arial" w:cs="Arial" w:eastAsia="Arial" w:hAnsi="Arial"/>
          <w:sz w:val="14"/>
          <w:szCs w:val="14"/>
          <w:color w:val="auto"/>
        </w:rPr>
        <w:t>off of assets and the settlement or extinguishment of liabilities determined to have no continuing economic benefit to the combined company, as well as other transaction</w:t>
      </w:r>
      <w:r>
        <w:rPr>
          <w:rFonts w:ascii="MS PGothic" w:cs="MS PGothic" w:eastAsia="MS PGothic" w:hAnsi="MS PGothic"/>
          <w:sz w:val="14"/>
          <w:szCs w:val="14"/>
          <w:color w:val="auto"/>
        </w:rPr>
        <w:t>‑</w:t>
      </w:r>
      <w:r>
        <w:rPr>
          <w:rFonts w:ascii="Arial" w:cs="Arial" w:eastAsia="Arial" w:hAnsi="Arial"/>
          <w:sz w:val="14"/>
          <w:szCs w:val="14"/>
          <w:color w:val="auto"/>
        </w:rPr>
        <w:t>related items, including change</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control payments, severance costs, legal and investment banking fees, and accelerated equity compensation expense associated with restricted stock awards and stock options.</w:t>
      </w:r>
    </w:p>
    <w:p>
      <w:pPr>
        <w:spacing w:after="0" w:line="199" w:lineRule="exact"/>
        <w:rPr>
          <w:sz w:val="20"/>
          <w:szCs w:val="20"/>
          <w:color w:val="auto"/>
        </w:rPr>
      </w:pPr>
    </w:p>
    <w:p>
      <w:pPr>
        <w:ind w:right="460"/>
        <w:spacing w:after="0" w:line="198" w:lineRule="exact"/>
        <w:rPr>
          <w:sz w:val="20"/>
          <w:szCs w:val="20"/>
          <w:color w:val="auto"/>
        </w:rPr>
      </w:pPr>
      <w:r>
        <w:rPr>
          <w:rFonts w:ascii="Arial" w:cs="Arial" w:eastAsia="Arial" w:hAnsi="Arial"/>
          <w:sz w:val="14"/>
          <w:szCs w:val="14"/>
          <w:color w:val="auto"/>
        </w:rPr>
        <w:t>In addition, the pro forma financial information excludes $21.7 million of non</w:t>
      </w:r>
      <w:r>
        <w:rPr>
          <w:rFonts w:ascii="MS PGothic" w:cs="MS PGothic" w:eastAsia="MS PGothic" w:hAnsi="MS PGothic"/>
          <w:sz w:val="14"/>
          <w:szCs w:val="14"/>
          <w:color w:val="auto"/>
        </w:rPr>
        <w:t>‑</w:t>
      </w:r>
      <w:r>
        <w:rPr>
          <w:rFonts w:ascii="Arial" w:cs="Arial" w:eastAsia="Arial" w:hAnsi="Arial"/>
          <w:sz w:val="14"/>
          <w:szCs w:val="14"/>
          <w:color w:val="auto"/>
        </w:rPr>
        <w:t>recurring integration</w:t>
      </w:r>
      <w:r>
        <w:rPr>
          <w:rFonts w:ascii="MS PGothic" w:cs="MS PGothic" w:eastAsia="MS PGothic" w:hAnsi="MS PGothic"/>
          <w:sz w:val="14"/>
          <w:szCs w:val="14"/>
          <w:color w:val="auto"/>
        </w:rPr>
        <w:t>‑</w:t>
      </w:r>
      <w:r>
        <w:rPr>
          <w:rFonts w:ascii="Arial" w:cs="Arial" w:eastAsia="Arial" w:hAnsi="Arial"/>
          <w:sz w:val="14"/>
          <w:szCs w:val="14"/>
          <w:color w:val="auto"/>
        </w:rPr>
        <w:t xml:space="preserve"> related costs incurred by the Corporation during the nine months ended September 30, 2026 in connection with the acquisition. These costs primarily consist of employee retention bonuses and severance arrangements associated with post</w:t>
      </w:r>
      <w:r>
        <w:rPr>
          <w:rFonts w:ascii="MS PGothic" w:cs="MS PGothic" w:eastAsia="MS PGothic" w:hAnsi="MS PGothic"/>
          <w:sz w:val="14"/>
          <w:szCs w:val="14"/>
          <w:color w:val="auto"/>
        </w:rPr>
        <w:t>‑</w:t>
      </w:r>
      <w:r>
        <w:rPr>
          <w:rFonts w:ascii="Arial" w:cs="Arial" w:eastAsia="Arial" w:hAnsi="Arial"/>
          <w:sz w:val="14"/>
          <w:szCs w:val="14"/>
          <w:color w:val="auto"/>
        </w:rPr>
        <w:t>acquisition integration activities, contract termination charges, core system conversion expenses and transaction advisory services.</w:t>
      </w:r>
    </w:p>
    <w:p>
      <w:pPr>
        <w:spacing w:after="0" w:line="196" w:lineRule="exact"/>
        <w:rPr>
          <w:sz w:val="20"/>
          <w:szCs w:val="20"/>
          <w:color w:val="auto"/>
        </w:rPr>
      </w:pPr>
    </w:p>
    <w:p>
      <w:pPr>
        <w:ind w:right="140"/>
        <w:spacing w:after="0" w:line="305" w:lineRule="auto"/>
        <w:rPr>
          <w:sz w:val="20"/>
          <w:szCs w:val="20"/>
          <w:color w:val="auto"/>
        </w:rPr>
      </w:pPr>
      <w:r>
        <w:rPr>
          <w:rFonts w:ascii="Arial" w:cs="Arial" w:eastAsia="Arial" w:hAnsi="Arial"/>
          <w:sz w:val="14"/>
          <w:szCs w:val="14"/>
          <w:color w:val="auto"/>
        </w:rPr>
        <w:t>The unaudited pro forma financial information is presented for informational purposes only and is not indicative of the results of operations that would have been achieved had the acquisition been consummated as of that time, nor is it intended to be a projection of future operating results.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right"/>
              <w:ind w:right="326"/>
              <w:spacing w:after="0"/>
              <w:rPr>
                <w:sz w:val="20"/>
                <w:szCs w:val="20"/>
                <w:color w:val="auto"/>
              </w:rPr>
            </w:pPr>
            <w:r>
              <w:rPr>
                <w:rFonts w:ascii="Arial" w:cs="Arial" w:eastAsia="Arial" w:hAnsi="Arial"/>
                <w:sz w:val="11"/>
                <w:szCs w:val="11"/>
                <w:b w:val="1"/>
                <w:bCs w:val="1"/>
                <w:color w:val="auto"/>
              </w:rPr>
              <w:t>Nine Months Ended</w:t>
            </w:r>
          </w:p>
        </w:tc>
      </w:tr>
      <w:tr>
        <w:trPr>
          <w:trHeight w:val="170"/>
        </w:trPr>
        <w:tc>
          <w:tcPr>
            <w:tcW w:w="9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September 30, 2026</w:t>
            </w:r>
          </w:p>
        </w:tc>
      </w:tr>
      <w:tr>
        <w:trPr>
          <w:trHeight w:val="142"/>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 (net interest income plus noninterest income)</w:t>
            </w: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560,017</w:t>
            </w:r>
          </w:p>
        </w:tc>
      </w:tr>
      <w:tr>
        <w:trPr>
          <w:trHeight w:val="152"/>
        </w:trPr>
        <w:tc>
          <w:tcPr>
            <w:tcW w:w="94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ind w:right="6"/>
              <w:spacing w:after="0"/>
              <w:rPr>
                <w:sz w:val="20"/>
                <w:szCs w:val="20"/>
                <w:color w:val="auto"/>
              </w:rPr>
            </w:pPr>
            <w:r>
              <w:rPr>
                <w:rFonts w:ascii="Arial" w:cs="Arial" w:eastAsia="Arial" w:hAnsi="Arial"/>
                <w:sz w:val="11"/>
                <w:szCs w:val="11"/>
                <w:color w:val="auto"/>
              </w:rPr>
              <w:t>158,346</w:t>
            </w:r>
          </w:p>
        </w:tc>
      </w:tr>
      <w:tr>
        <w:trPr>
          <w:trHeight w:val="152"/>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available to common stockholders</w:t>
            </w: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156,940</w:t>
            </w:r>
          </w:p>
        </w:tc>
      </w:tr>
      <w:tr>
        <w:trPr>
          <w:trHeight w:val="142"/>
        </w:trPr>
        <w:tc>
          <w:tcPr>
            <w:tcW w:w="9480" w:type="dxa"/>
            <w:vAlign w:val="bottom"/>
          </w:tcPr>
          <w:p>
            <w:pPr>
              <w:ind w:left="20"/>
              <w:spacing w:after="0"/>
              <w:rPr>
                <w:sz w:val="20"/>
                <w:szCs w:val="20"/>
                <w:color w:val="auto"/>
              </w:rPr>
            </w:pPr>
            <w:r>
              <w:rPr>
                <w:rFonts w:ascii="Arial" w:cs="Arial" w:eastAsia="Arial" w:hAnsi="Arial"/>
                <w:sz w:val="11"/>
                <w:szCs w:val="11"/>
                <w:color w:val="auto"/>
              </w:rPr>
              <w:t>Earnings per common share:</w:t>
            </w: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42"/>
        </w:trPr>
        <w:tc>
          <w:tcPr>
            <w:tcW w:w="9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Basic</w:t>
            </w: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2.51</w:t>
            </w:r>
          </w:p>
        </w:tc>
      </w:tr>
      <w:tr>
        <w:trPr>
          <w:trHeight w:val="142"/>
        </w:trPr>
        <w:tc>
          <w:tcPr>
            <w:tcW w:w="9480" w:type="dxa"/>
            <w:vAlign w:val="bottom"/>
          </w:tcPr>
          <w:p>
            <w:pPr>
              <w:ind w:left="220"/>
              <w:spacing w:after="0"/>
              <w:rPr>
                <w:sz w:val="20"/>
                <w:szCs w:val="20"/>
                <w:color w:val="auto"/>
              </w:rPr>
            </w:pPr>
            <w:r>
              <w:rPr>
                <w:rFonts w:ascii="Arial" w:cs="Arial" w:eastAsia="Arial" w:hAnsi="Arial"/>
                <w:sz w:val="11"/>
                <w:szCs w:val="11"/>
                <w:color w:val="auto"/>
              </w:rPr>
              <w:t>Diluted</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ind w:right="6"/>
              <w:spacing w:after="0"/>
              <w:rPr>
                <w:sz w:val="20"/>
                <w:szCs w:val="20"/>
                <w:color w:val="auto"/>
              </w:rPr>
            </w:pPr>
            <w:r>
              <w:rPr>
                <w:rFonts w:ascii="Arial" w:cs="Arial" w:eastAsia="Arial" w:hAnsi="Arial"/>
                <w:sz w:val="11"/>
                <w:szCs w:val="11"/>
                <w:color w:val="auto"/>
              </w:rPr>
              <w:t>2.50</w:t>
            </w: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right"/>
              <w:ind w:right="526"/>
              <w:spacing w:after="0"/>
              <w:rPr>
                <w:sz w:val="20"/>
                <w:szCs w:val="20"/>
                <w:color w:val="auto"/>
              </w:rPr>
            </w:pPr>
            <w:r>
              <w:rPr>
                <w:rFonts w:ascii="Arial" w:cs="Arial" w:eastAsia="Arial" w:hAnsi="Arial"/>
                <w:sz w:val="11"/>
                <w:szCs w:val="11"/>
                <w:b w:val="1"/>
                <w:bCs w:val="1"/>
                <w:color w:val="auto"/>
              </w:rPr>
              <w:t>Year Ended</w:t>
            </w:r>
          </w:p>
        </w:tc>
      </w:tr>
      <w:tr>
        <w:trPr>
          <w:trHeight w:val="169"/>
        </w:trPr>
        <w:tc>
          <w:tcPr>
            <w:tcW w:w="9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December 31, 2025</w:t>
            </w:r>
          </w:p>
        </w:tc>
      </w:tr>
      <w:tr>
        <w:trPr>
          <w:trHeight w:val="142"/>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 (net interest income plus noninterest income)</w:t>
            </w: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757,511</w:t>
            </w:r>
          </w:p>
        </w:tc>
      </w:tr>
      <w:tr>
        <w:trPr>
          <w:trHeight w:val="142"/>
        </w:trPr>
        <w:tc>
          <w:tcPr>
            <w:tcW w:w="94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ind w:right="6"/>
              <w:spacing w:after="0"/>
              <w:rPr>
                <w:sz w:val="20"/>
                <w:szCs w:val="20"/>
                <w:color w:val="auto"/>
              </w:rPr>
            </w:pPr>
            <w:r>
              <w:rPr>
                <w:rFonts w:ascii="Arial" w:cs="Arial" w:eastAsia="Arial" w:hAnsi="Arial"/>
                <w:sz w:val="11"/>
                <w:szCs w:val="11"/>
                <w:color w:val="auto"/>
              </w:rPr>
              <w:t>253,686</w:t>
            </w:r>
          </w:p>
        </w:tc>
      </w:tr>
      <w:tr>
        <w:trPr>
          <w:trHeight w:val="20"/>
        </w:trPr>
        <w:tc>
          <w:tcPr>
            <w:tcW w:w="9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42"/>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available to common stockholders</w:t>
            </w: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251,811</w:t>
            </w:r>
          </w:p>
        </w:tc>
      </w:tr>
      <w:tr>
        <w:trPr>
          <w:trHeight w:val="142"/>
        </w:trPr>
        <w:tc>
          <w:tcPr>
            <w:tcW w:w="9480" w:type="dxa"/>
            <w:vAlign w:val="bottom"/>
          </w:tcPr>
          <w:p>
            <w:pPr>
              <w:ind w:left="20"/>
              <w:spacing w:after="0"/>
              <w:rPr>
                <w:sz w:val="20"/>
                <w:szCs w:val="20"/>
                <w:color w:val="auto"/>
              </w:rPr>
            </w:pPr>
            <w:r>
              <w:rPr>
                <w:rFonts w:ascii="Arial" w:cs="Arial" w:eastAsia="Arial" w:hAnsi="Arial"/>
                <w:sz w:val="11"/>
                <w:szCs w:val="11"/>
                <w:color w:val="auto"/>
              </w:rPr>
              <w:t>Earnings per common share:</w:t>
            </w: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42"/>
        </w:trPr>
        <w:tc>
          <w:tcPr>
            <w:tcW w:w="9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Basic</w:t>
            </w: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3.96</w:t>
            </w:r>
          </w:p>
        </w:tc>
      </w:tr>
      <w:tr>
        <w:trPr>
          <w:trHeight w:val="142"/>
        </w:trPr>
        <w:tc>
          <w:tcPr>
            <w:tcW w:w="9480" w:type="dxa"/>
            <w:vAlign w:val="bottom"/>
          </w:tcPr>
          <w:p>
            <w:pPr>
              <w:ind w:left="220"/>
              <w:spacing w:after="0"/>
              <w:rPr>
                <w:sz w:val="20"/>
                <w:szCs w:val="20"/>
                <w:color w:val="auto"/>
              </w:rPr>
            </w:pPr>
            <w:r>
              <w:rPr>
                <w:rFonts w:ascii="Arial" w:cs="Arial" w:eastAsia="Arial" w:hAnsi="Arial"/>
                <w:sz w:val="11"/>
                <w:szCs w:val="11"/>
                <w:color w:val="auto"/>
              </w:rPr>
              <w:t>Diluted</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ind w:right="6"/>
              <w:spacing w:after="0"/>
              <w:rPr>
                <w:sz w:val="20"/>
                <w:szCs w:val="20"/>
                <w:color w:val="auto"/>
              </w:rPr>
            </w:pPr>
            <w:r>
              <w:rPr>
                <w:rFonts w:ascii="Arial" w:cs="Arial" w:eastAsia="Arial" w:hAnsi="Arial"/>
                <w:sz w:val="11"/>
                <w:szCs w:val="11"/>
                <w:color w:val="auto"/>
              </w:rPr>
              <w:t>3.94</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SECURITIES</w:t>
      </w:r>
    </w:p>
    <w:p>
      <w:pPr>
        <w:spacing w:after="0" w:line="258"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 following tables summarize the amortized cost, gross unrealized gains and losses and approximate fair value of investment securities available for sale as of September 30, 2026 and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Amortized</w:t>
            </w:r>
          </w:p>
        </w:tc>
        <w:tc>
          <w:tcPr>
            <w:tcW w:w="10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w:t>
            </w:r>
          </w:p>
        </w:tc>
        <w:tc>
          <w:tcPr>
            <w:tcW w:w="12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w:t>
            </w:r>
          </w:p>
        </w:tc>
        <w:tc>
          <w:tcPr>
            <w:tcW w:w="260" w:type="dxa"/>
            <w:vAlign w:val="bottom"/>
          </w:tcPr>
          <w:p>
            <w:pPr>
              <w:spacing w:after="0"/>
              <w:rPr>
                <w:sz w:val="10"/>
                <w:szCs w:val="10"/>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Fair</w:t>
            </w:r>
          </w:p>
        </w:tc>
      </w:tr>
      <w:tr>
        <w:trPr>
          <w:trHeight w:val="155"/>
        </w:trPr>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Cost</w:t>
            </w:r>
          </w:p>
        </w:tc>
        <w:tc>
          <w:tcPr>
            <w:tcW w:w="100" w:type="dxa"/>
            <w:vAlign w:val="bottom"/>
          </w:tcPr>
          <w:p>
            <w:pPr>
              <w:spacing w:after="0"/>
              <w:rPr>
                <w:sz w:val="13"/>
                <w:szCs w:val="13"/>
                <w:color w:val="auto"/>
              </w:rPr>
            </w:pPr>
          </w:p>
        </w:tc>
        <w:tc>
          <w:tcPr>
            <w:tcW w:w="1200" w:type="dxa"/>
            <w:vAlign w:val="bottom"/>
            <w:gridSpan w:val="2"/>
          </w:tcPr>
          <w:p>
            <w:pPr>
              <w:ind w:left="360"/>
              <w:spacing w:after="0"/>
              <w:rPr>
                <w:sz w:val="20"/>
                <w:szCs w:val="20"/>
                <w:color w:val="auto"/>
              </w:rPr>
            </w:pPr>
            <w:r>
              <w:rPr>
                <w:rFonts w:ascii="Arial" w:cs="Arial" w:eastAsia="Arial" w:hAnsi="Arial"/>
                <w:sz w:val="11"/>
                <w:szCs w:val="11"/>
                <w:b w:val="1"/>
                <w:bCs w:val="1"/>
                <w:color w:val="auto"/>
              </w:rPr>
              <w:t>Gains</w:t>
            </w:r>
          </w:p>
        </w:tc>
        <w:tc>
          <w:tcPr>
            <w:tcW w:w="120" w:type="dxa"/>
            <w:vAlign w:val="bottom"/>
          </w:tcPr>
          <w:p>
            <w:pPr>
              <w:spacing w:after="0"/>
              <w:rPr>
                <w:sz w:val="13"/>
                <w:szCs w:val="13"/>
                <w:color w:val="auto"/>
              </w:rPr>
            </w:pPr>
          </w:p>
        </w:tc>
        <w:tc>
          <w:tcPr>
            <w:tcW w:w="1200" w:type="dxa"/>
            <w:vAlign w:val="bottom"/>
            <w:gridSpan w:val="2"/>
          </w:tcPr>
          <w:p>
            <w:pPr>
              <w:ind w:left="300"/>
              <w:spacing w:after="0"/>
              <w:rPr>
                <w:sz w:val="20"/>
                <w:szCs w:val="20"/>
                <w:color w:val="auto"/>
              </w:rPr>
            </w:pPr>
            <w:r>
              <w:rPr>
                <w:rFonts w:ascii="Arial" w:cs="Arial" w:eastAsia="Arial" w:hAnsi="Arial"/>
                <w:sz w:val="11"/>
                <w:szCs w:val="11"/>
                <w:b w:val="1"/>
                <w:bCs w:val="1"/>
                <w:color w:val="auto"/>
              </w:rPr>
              <w:t>Losses</w:t>
            </w:r>
          </w:p>
        </w:tc>
        <w:tc>
          <w:tcPr>
            <w:tcW w:w="260" w:type="dxa"/>
            <w:vAlign w:val="bottom"/>
          </w:tcPr>
          <w:p>
            <w:pPr>
              <w:spacing w:after="0"/>
              <w:rPr>
                <w:sz w:val="13"/>
                <w:szCs w:val="13"/>
                <w:color w:val="auto"/>
              </w:rPr>
            </w:pPr>
          </w:p>
        </w:tc>
        <w:tc>
          <w:tcPr>
            <w:tcW w:w="940" w:type="dxa"/>
            <w:vAlign w:val="bottom"/>
          </w:tcPr>
          <w:p>
            <w:pPr>
              <w:jc w:val="right"/>
              <w:ind w:right="406"/>
              <w:spacing w:after="0"/>
              <w:rPr>
                <w:sz w:val="20"/>
                <w:szCs w:val="20"/>
                <w:color w:val="auto"/>
              </w:rPr>
            </w:pPr>
            <w:r>
              <w:rPr>
                <w:rFonts w:ascii="Arial" w:cs="Arial" w:eastAsia="Arial" w:hAnsi="Arial"/>
                <w:sz w:val="11"/>
                <w:szCs w:val="11"/>
                <w:b w:val="1"/>
                <w:bCs w:val="1"/>
                <w:color w:val="auto"/>
              </w:rPr>
              <w:t>Value</w:t>
            </w:r>
          </w:p>
        </w:tc>
      </w:tr>
      <w:tr>
        <w:trPr>
          <w:trHeight w:val="148"/>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Available for sale at September 30, 2026</w:t>
            </w:r>
          </w:p>
        </w:tc>
        <w:tc>
          <w:tcPr>
            <w:tcW w:w="2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r>
      <w:tr>
        <w:trPr>
          <w:trHeight w:val="142"/>
        </w:trPr>
        <w:tc>
          <w:tcPr>
            <w:tcW w:w="6100" w:type="dxa"/>
            <w:vAlign w:val="bottom"/>
          </w:tcPr>
          <w:p>
            <w:pPr>
              <w:ind w:left="140"/>
              <w:spacing w:after="0"/>
              <w:rPr>
                <w:sz w:val="20"/>
                <w:szCs w:val="20"/>
                <w:color w:val="auto"/>
              </w:rPr>
            </w:pPr>
            <w:r>
              <w:rPr>
                <w:rFonts w:ascii="Arial" w:cs="Arial" w:eastAsia="Arial" w:hAnsi="Arial"/>
                <w:sz w:val="11"/>
                <w:szCs w:val="11"/>
                <w:color w:val="auto"/>
              </w:rPr>
              <w:t>U.S. Government-sponsored agency securities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81,543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(14,347)</w:t>
            </w:r>
          </w:p>
        </w:tc>
        <w:tc>
          <w:tcPr>
            <w:tcW w:w="10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67,196</w:t>
            </w: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61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State and municipal</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982,812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(192,870)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789,942</w:t>
            </w:r>
          </w:p>
        </w:tc>
      </w:tr>
      <w:tr>
        <w:trPr>
          <w:trHeight w:val="152"/>
        </w:trPr>
        <w:tc>
          <w:tcPr>
            <w:tcW w:w="6100" w:type="dxa"/>
            <w:vAlign w:val="bottom"/>
          </w:tcPr>
          <w:p>
            <w:pPr>
              <w:ind w:left="140"/>
              <w:spacing w:after="0"/>
              <w:rPr>
                <w:sz w:val="20"/>
                <w:szCs w:val="20"/>
                <w:color w:val="auto"/>
              </w:rPr>
            </w:pPr>
            <w:r>
              <w:rPr>
                <w:rFonts w:ascii="Arial" w:cs="Arial" w:eastAsia="Arial" w:hAnsi="Arial"/>
                <w:sz w:val="11"/>
                <w:szCs w:val="11"/>
                <w:color w:val="auto"/>
              </w:rPr>
              <w:t>U.S. Government-sponsored mortgage-backed securities</w:t>
            </w:r>
          </w:p>
        </w:tc>
        <w:tc>
          <w:tcPr>
            <w:tcW w:w="22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469,402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(83,370)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386,039</w:t>
            </w:r>
          </w:p>
        </w:tc>
      </w:tr>
      <w:tr>
        <w:trPr>
          <w:trHeight w:val="152"/>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Foreign investment</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1,500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1,491</w:t>
            </w:r>
          </w:p>
        </w:tc>
      </w:tr>
      <w:tr>
        <w:trPr>
          <w:trHeight w:val="155"/>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Corporate obligations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7,017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6,872</w:t>
            </w:r>
          </w:p>
        </w:tc>
      </w:tr>
      <w:tr>
        <w:trPr>
          <w:trHeight w:val="187"/>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available for sale</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1,542,274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(290,752)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1,251,540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Amortized</w:t>
            </w:r>
          </w:p>
        </w:tc>
        <w:tc>
          <w:tcPr>
            <w:tcW w:w="10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w:t>
            </w:r>
          </w:p>
        </w:tc>
        <w:tc>
          <w:tcPr>
            <w:tcW w:w="12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w:t>
            </w:r>
          </w:p>
        </w:tc>
        <w:tc>
          <w:tcPr>
            <w:tcW w:w="260" w:type="dxa"/>
            <w:vAlign w:val="bottom"/>
          </w:tcPr>
          <w:p>
            <w:pPr>
              <w:spacing w:after="0"/>
              <w:rPr>
                <w:sz w:val="10"/>
                <w:szCs w:val="10"/>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Fair</w:t>
            </w:r>
          </w:p>
        </w:tc>
      </w:tr>
      <w:tr>
        <w:trPr>
          <w:trHeight w:val="155"/>
        </w:trPr>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Cost</w:t>
            </w:r>
          </w:p>
        </w:tc>
        <w:tc>
          <w:tcPr>
            <w:tcW w:w="100" w:type="dxa"/>
            <w:vAlign w:val="bottom"/>
          </w:tcPr>
          <w:p>
            <w:pPr>
              <w:spacing w:after="0"/>
              <w:rPr>
                <w:sz w:val="13"/>
                <w:szCs w:val="13"/>
                <w:color w:val="auto"/>
              </w:rPr>
            </w:pPr>
          </w:p>
        </w:tc>
        <w:tc>
          <w:tcPr>
            <w:tcW w:w="1200" w:type="dxa"/>
            <w:vAlign w:val="bottom"/>
            <w:gridSpan w:val="2"/>
          </w:tcPr>
          <w:p>
            <w:pPr>
              <w:ind w:left="360"/>
              <w:spacing w:after="0"/>
              <w:rPr>
                <w:sz w:val="20"/>
                <w:szCs w:val="20"/>
                <w:color w:val="auto"/>
              </w:rPr>
            </w:pPr>
            <w:r>
              <w:rPr>
                <w:rFonts w:ascii="Arial" w:cs="Arial" w:eastAsia="Arial" w:hAnsi="Arial"/>
                <w:sz w:val="11"/>
                <w:szCs w:val="11"/>
                <w:b w:val="1"/>
                <w:bCs w:val="1"/>
                <w:color w:val="auto"/>
              </w:rPr>
              <w:t>Gains</w:t>
            </w:r>
          </w:p>
        </w:tc>
        <w:tc>
          <w:tcPr>
            <w:tcW w:w="120" w:type="dxa"/>
            <w:vAlign w:val="bottom"/>
          </w:tcPr>
          <w:p>
            <w:pPr>
              <w:spacing w:after="0"/>
              <w:rPr>
                <w:sz w:val="13"/>
                <w:szCs w:val="13"/>
                <w:color w:val="auto"/>
              </w:rPr>
            </w:pPr>
          </w:p>
        </w:tc>
        <w:tc>
          <w:tcPr>
            <w:tcW w:w="1200" w:type="dxa"/>
            <w:vAlign w:val="bottom"/>
            <w:gridSpan w:val="2"/>
          </w:tcPr>
          <w:p>
            <w:pPr>
              <w:ind w:left="300"/>
              <w:spacing w:after="0"/>
              <w:rPr>
                <w:sz w:val="20"/>
                <w:szCs w:val="20"/>
                <w:color w:val="auto"/>
              </w:rPr>
            </w:pPr>
            <w:r>
              <w:rPr>
                <w:rFonts w:ascii="Arial" w:cs="Arial" w:eastAsia="Arial" w:hAnsi="Arial"/>
                <w:sz w:val="11"/>
                <w:szCs w:val="11"/>
                <w:b w:val="1"/>
                <w:bCs w:val="1"/>
                <w:color w:val="auto"/>
              </w:rPr>
              <w:t>Losses</w:t>
            </w:r>
          </w:p>
        </w:tc>
        <w:tc>
          <w:tcPr>
            <w:tcW w:w="260" w:type="dxa"/>
            <w:vAlign w:val="bottom"/>
          </w:tcPr>
          <w:p>
            <w:pPr>
              <w:spacing w:after="0"/>
              <w:rPr>
                <w:sz w:val="13"/>
                <w:szCs w:val="13"/>
                <w:color w:val="auto"/>
              </w:rPr>
            </w:pPr>
          </w:p>
        </w:tc>
        <w:tc>
          <w:tcPr>
            <w:tcW w:w="940" w:type="dxa"/>
            <w:vAlign w:val="bottom"/>
          </w:tcPr>
          <w:p>
            <w:pPr>
              <w:jc w:val="right"/>
              <w:ind w:right="406"/>
              <w:spacing w:after="0"/>
              <w:rPr>
                <w:sz w:val="20"/>
                <w:szCs w:val="20"/>
                <w:color w:val="auto"/>
              </w:rPr>
            </w:pPr>
            <w:r>
              <w:rPr>
                <w:rFonts w:ascii="Arial" w:cs="Arial" w:eastAsia="Arial" w:hAnsi="Arial"/>
                <w:sz w:val="11"/>
                <w:szCs w:val="11"/>
                <w:b w:val="1"/>
                <w:bCs w:val="1"/>
                <w:color w:val="auto"/>
              </w:rPr>
              <w:t>Value</w:t>
            </w:r>
          </w:p>
        </w:tc>
      </w:tr>
      <w:tr>
        <w:trPr>
          <w:trHeight w:val="148"/>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Available for sale at December 31, 2025</w:t>
            </w:r>
          </w:p>
        </w:tc>
        <w:tc>
          <w:tcPr>
            <w:tcW w:w="2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r>
      <w:tr>
        <w:trPr>
          <w:trHeight w:val="142"/>
        </w:trPr>
        <w:tc>
          <w:tcPr>
            <w:tcW w:w="6100" w:type="dxa"/>
            <w:vAlign w:val="bottom"/>
          </w:tcPr>
          <w:p>
            <w:pPr>
              <w:ind w:left="140"/>
              <w:spacing w:after="0"/>
              <w:rPr>
                <w:sz w:val="20"/>
                <w:szCs w:val="20"/>
                <w:color w:val="auto"/>
              </w:rPr>
            </w:pPr>
            <w:r>
              <w:rPr>
                <w:rFonts w:ascii="Arial" w:cs="Arial" w:eastAsia="Arial" w:hAnsi="Arial"/>
                <w:sz w:val="11"/>
                <w:szCs w:val="11"/>
                <w:color w:val="auto"/>
              </w:rPr>
              <w:t>U.S. Government-sponsored agency securities</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87,936</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(11,837)</w:t>
            </w:r>
          </w:p>
        </w:tc>
        <w:tc>
          <w:tcPr>
            <w:tcW w:w="10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76,099</w:t>
            </w: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2"/>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State and municipal</w:t>
            </w:r>
          </w:p>
        </w:tc>
        <w:tc>
          <w:tcPr>
            <w:tcW w:w="2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993,911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(91,842)</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902,294</w:t>
            </w:r>
          </w:p>
        </w:tc>
      </w:tr>
      <w:tr>
        <w:trPr>
          <w:trHeight w:val="152"/>
        </w:trPr>
        <w:tc>
          <w:tcPr>
            <w:tcW w:w="6100" w:type="dxa"/>
            <w:vAlign w:val="bottom"/>
          </w:tcPr>
          <w:p>
            <w:pPr>
              <w:ind w:left="140"/>
              <w:spacing w:after="0"/>
              <w:rPr>
                <w:sz w:val="20"/>
                <w:szCs w:val="20"/>
                <w:color w:val="auto"/>
              </w:rPr>
            </w:pPr>
            <w:r>
              <w:rPr>
                <w:rFonts w:ascii="Arial" w:cs="Arial" w:eastAsia="Arial" w:hAnsi="Arial"/>
                <w:sz w:val="11"/>
                <w:szCs w:val="11"/>
                <w:color w:val="auto"/>
              </w:rPr>
              <w:t>U.S. Government-sponsored mortgage-backed securities</w:t>
            </w:r>
          </w:p>
        </w:tc>
        <w:tc>
          <w:tcPr>
            <w:tcW w:w="22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482,702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1,600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(64,792)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419,510</w:t>
            </w:r>
          </w:p>
        </w:tc>
      </w:tr>
      <w:tr>
        <w:trPr>
          <w:trHeight w:val="152"/>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Foreign investment</w:t>
            </w:r>
          </w:p>
        </w:tc>
        <w:tc>
          <w:tcPr>
            <w:tcW w:w="2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1,500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1,500</w:t>
            </w:r>
          </w:p>
        </w:tc>
      </w:tr>
      <w:tr>
        <w:trPr>
          <w:trHeight w:val="155"/>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Corporate obligations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7,974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7,699</w:t>
            </w:r>
          </w:p>
        </w:tc>
      </w:tr>
      <w:tr>
        <w:trPr>
          <w:trHeight w:val="187"/>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available for sale</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1,574,023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(168,747)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1,407,102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0"/>
        <w:spacing w:after="0" w:line="305" w:lineRule="auto"/>
        <w:rPr>
          <w:sz w:val="20"/>
          <w:szCs w:val="20"/>
          <w:color w:val="auto"/>
        </w:rPr>
      </w:pPr>
      <w:r>
        <w:rPr>
          <w:rFonts w:ascii="Arial" w:cs="Arial" w:eastAsia="Arial" w:hAnsi="Arial"/>
          <w:sz w:val="14"/>
          <w:szCs w:val="14"/>
          <w:color w:val="auto"/>
        </w:rPr>
        <w:t>The following tables summarize the amortized cost, gross unrealized gains and losses, approximate fair value and allowance for credit losses on investment securities held to maturity as of September 30, 2026 and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Amortized</w:t>
            </w:r>
          </w:p>
        </w:tc>
        <w:tc>
          <w:tcPr>
            <w:tcW w:w="13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9"/>
              </w:rPr>
              <w:t>Allowance for Credit</w:t>
            </w:r>
          </w:p>
        </w:tc>
        <w:tc>
          <w:tcPr>
            <w:tcW w:w="12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Net Carrying Amount</w:t>
            </w:r>
          </w:p>
        </w:tc>
        <w:tc>
          <w:tcPr>
            <w:tcW w:w="120" w:type="dxa"/>
            <w:vAlign w:val="bottom"/>
          </w:tcPr>
          <w:p>
            <w:pPr>
              <w:spacing w:after="0"/>
              <w:rPr>
                <w:sz w:val="10"/>
                <w:szCs w:val="10"/>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w:t>
            </w:r>
          </w:p>
        </w:tc>
        <w:tc>
          <w:tcPr>
            <w:tcW w:w="260" w:type="dxa"/>
            <w:vAlign w:val="bottom"/>
          </w:tcPr>
          <w:p>
            <w:pPr>
              <w:spacing w:after="0"/>
              <w:rPr>
                <w:sz w:val="10"/>
                <w:szCs w:val="10"/>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Fair</w:t>
            </w: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Cost</w:t>
            </w:r>
          </w:p>
        </w:tc>
        <w:tc>
          <w:tcPr>
            <w:tcW w:w="2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Losses</w:t>
            </w: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340"/>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3"/>
                <w:szCs w:val="13"/>
                <w:color w:val="auto"/>
              </w:rPr>
            </w:pPr>
          </w:p>
        </w:tc>
        <w:tc>
          <w:tcPr>
            <w:tcW w:w="1200" w:type="dxa"/>
            <w:vAlign w:val="bottom"/>
            <w:gridSpan w:val="2"/>
          </w:tcPr>
          <w:p>
            <w:pPr>
              <w:ind w:left="320"/>
              <w:spacing w:after="0"/>
              <w:rPr>
                <w:sz w:val="20"/>
                <w:szCs w:val="20"/>
                <w:color w:val="auto"/>
              </w:rPr>
            </w:pPr>
            <w:r>
              <w:rPr>
                <w:rFonts w:ascii="Arial" w:cs="Arial" w:eastAsia="Arial" w:hAnsi="Arial"/>
                <w:sz w:val="11"/>
                <w:szCs w:val="11"/>
                <w:b w:val="1"/>
                <w:bCs w:val="1"/>
                <w:color w:val="auto"/>
              </w:rPr>
              <w:t>Losses</w:t>
            </w:r>
          </w:p>
        </w:tc>
        <w:tc>
          <w:tcPr>
            <w:tcW w:w="260" w:type="dxa"/>
            <w:vAlign w:val="bottom"/>
          </w:tcPr>
          <w:p>
            <w:pPr>
              <w:spacing w:after="0"/>
              <w:rPr>
                <w:sz w:val="13"/>
                <w:szCs w:val="13"/>
                <w:color w:val="auto"/>
              </w:rPr>
            </w:pPr>
          </w:p>
        </w:tc>
        <w:tc>
          <w:tcPr>
            <w:tcW w:w="940" w:type="dxa"/>
            <w:vAlign w:val="bottom"/>
          </w:tcPr>
          <w:p>
            <w:pPr>
              <w:jc w:val="right"/>
              <w:ind w:right="40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48"/>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Held to maturity at September 30, 2026</w:t>
            </w: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ind w:left="140"/>
              <w:spacing w:after="0"/>
              <w:rPr>
                <w:sz w:val="20"/>
                <w:szCs w:val="20"/>
                <w:color w:val="auto"/>
              </w:rPr>
            </w:pPr>
            <w:r>
              <w:rPr>
                <w:rFonts w:ascii="Arial" w:cs="Arial" w:eastAsia="Arial" w:hAnsi="Arial"/>
                <w:sz w:val="11"/>
                <w:szCs w:val="11"/>
                <w:color w:val="auto"/>
              </w:rPr>
              <w:t>U.S. Government-sponsored agency securities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308,998</w:t>
            </w:r>
          </w:p>
        </w:tc>
        <w:tc>
          <w:tcPr>
            <w:tcW w:w="12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6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308,998</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(52,277)</w:t>
            </w:r>
          </w:p>
        </w:tc>
        <w:tc>
          <w:tcPr>
            <w:tcW w:w="10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256,721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State and municipal</w:t>
            </w:r>
          </w:p>
        </w:tc>
        <w:tc>
          <w:tcPr>
            <w:tcW w:w="2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1,043,391</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1,043,146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(237,783)</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805,610</w:t>
            </w:r>
          </w:p>
        </w:tc>
        <w:tc>
          <w:tcPr>
            <w:tcW w:w="0" w:type="dxa"/>
            <w:vAlign w:val="bottom"/>
          </w:tcPr>
          <w:p>
            <w:pPr>
              <w:spacing w:after="0"/>
              <w:rPr>
                <w:sz w:val="1"/>
                <w:szCs w:val="1"/>
                <w:color w:val="auto"/>
              </w:rPr>
            </w:pPr>
          </w:p>
        </w:tc>
      </w:tr>
      <w:tr>
        <w:trPr>
          <w:trHeight w:val="155"/>
        </w:trPr>
        <w:tc>
          <w:tcPr>
            <w:tcW w:w="3560" w:type="dxa"/>
            <w:vAlign w:val="bottom"/>
          </w:tcPr>
          <w:p>
            <w:pPr>
              <w:ind w:left="140"/>
              <w:spacing w:after="0"/>
              <w:rPr>
                <w:sz w:val="20"/>
                <w:szCs w:val="20"/>
                <w:color w:val="auto"/>
              </w:rPr>
            </w:pPr>
            <w:r>
              <w:rPr>
                <w:rFonts w:ascii="Arial" w:cs="Arial" w:eastAsia="Arial" w:hAnsi="Arial"/>
                <w:sz w:val="11"/>
                <w:szCs w:val="11"/>
                <w:color w:val="auto"/>
              </w:rPr>
              <w:t>U.S. Government-sponsored mortgage-backed securities</w:t>
            </w:r>
          </w:p>
        </w:tc>
        <w:tc>
          <w:tcPr>
            <w:tcW w:w="20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520,807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520,807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(87,661)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433,146</w:t>
            </w:r>
          </w:p>
        </w:tc>
        <w:tc>
          <w:tcPr>
            <w:tcW w:w="0" w:type="dxa"/>
            <w:vAlign w:val="bottom"/>
          </w:tcPr>
          <w:p>
            <w:pPr>
              <w:spacing w:after="0"/>
              <w:rPr>
                <w:sz w:val="1"/>
                <w:szCs w:val="1"/>
                <w:color w:val="auto"/>
              </w:rPr>
            </w:pPr>
          </w:p>
        </w:tc>
      </w:tr>
      <w:tr>
        <w:trPr>
          <w:trHeight w:val="187"/>
        </w:trPr>
        <w:tc>
          <w:tcPr>
            <w:tcW w:w="35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held to maturity</w:t>
            </w: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1,873,196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1,872,951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(377,721)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1,495,477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Amortized</w:t>
            </w:r>
          </w:p>
        </w:tc>
        <w:tc>
          <w:tcPr>
            <w:tcW w:w="13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9"/>
              </w:rPr>
              <w:t>Allowance for Credit</w:t>
            </w:r>
          </w:p>
        </w:tc>
        <w:tc>
          <w:tcPr>
            <w:tcW w:w="12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Net Carrying Amount</w:t>
            </w:r>
          </w:p>
        </w:tc>
        <w:tc>
          <w:tcPr>
            <w:tcW w:w="120" w:type="dxa"/>
            <w:vAlign w:val="bottom"/>
          </w:tcPr>
          <w:p>
            <w:pPr>
              <w:spacing w:after="0"/>
              <w:rPr>
                <w:sz w:val="10"/>
                <w:szCs w:val="10"/>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Gross Unrealized</w:t>
            </w:r>
          </w:p>
        </w:tc>
        <w:tc>
          <w:tcPr>
            <w:tcW w:w="10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w:t>
            </w:r>
          </w:p>
        </w:tc>
        <w:tc>
          <w:tcPr>
            <w:tcW w:w="260" w:type="dxa"/>
            <w:vAlign w:val="bottom"/>
          </w:tcPr>
          <w:p>
            <w:pPr>
              <w:spacing w:after="0"/>
              <w:rPr>
                <w:sz w:val="10"/>
                <w:szCs w:val="10"/>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Fair</w:t>
            </w: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Cost</w:t>
            </w:r>
          </w:p>
        </w:tc>
        <w:tc>
          <w:tcPr>
            <w:tcW w:w="24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Losses</w:t>
            </w: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340"/>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3"/>
                <w:szCs w:val="13"/>
                <w:color w:val="auto"/>
              </w:rPr>
            </w:pPr>
          </w:p>
        </w:tc>
        <w:tc>
          <w:tcPr>
            <w:tcW w:w="1200" w:type="dxa"/>
            <w:vAlign w:val="bottom"/>
            <w:gridSpan w:val="2"/>
          </w:tcPr>
          <w:p>
            <w:pPr>
              <w:ind w:left="320"/>
              <w:spacing w:after="0"/>
              <w:rPr>
                <w:sz w:val="20"/>
                <w:szCs w:val="20"/>
                <w:color w:val="auto"/>
              </w:rPr>
            </w:pPr>
            <w:r>
              <w:rPr>
                <w:rFonts w:ascii="Arial" w:cs="Arial" w:eastAsia="Arial" w:hAnsi="Arial"/>
                <w:sz w:val="11"/>
                <w:szCs w:val="11"/>
                <w:b w:val="1"/>
                <w:bCs w:val="1"/>
                <w:color w:val="auto"/>
              </w:rPr>
              <w:t>Losses</w:t>
            </w:r>
          </w:p>
        </w:tc>
        <w:tc>
          <w:tcPr>
            <w:tcW w:w="260" w:type="dxa"/>
            <w:vAlign w:val="bottom"/>
          </w:tcPr>
          <w:p>
            <w:pPr>
              <w:spacing w:after="0"/>
              <w:rPr>
                <w:sz w:val="13"/>
                <w:szCs w:val="13"/>
                <w:color w:val="auto"/>
              </w:rPr>
            </w:pPr>
          </w:p>
        </w:tc>
        <w:tc>
          <w:tcPr>
            <w:tcW w:w="940" w:type="dxa"/>
            <w:vAlign w:val="bottom"/>
          </w:tcPr>
          <w:p>
            <w:pPr>
              <w:jc w:val="right"/>
              <w:ind w:right="40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48"/>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Held to maturity at December 31, 2025</w:t>
            </w: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ind w:left="140"/>
              <w:spacing w:after="0"/>
              <w:rPr>
                <w:sz w:val="20"/>
                <w:szCs w:val="20"/>
                <w:color w:val="auto"/>
              </w:rPr>
            </w:pPr>
            <w:r>
              <w:rPr>
                <w:rFonts w:ascii="Arial" w:cs="Arial" w:eastAsia="Arial" w:hAnsi="Arial"/>
                <w:sz w:val="11"/>
                <w:szCs w:val="11"/>
                <w:color w:val="auto"/>
              </w:rPr>
              <w:t>U.S. Government-sponsored agency securities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324,643</w:t>
            </w:r>
          </w:p>
        </w:tc>
        <w:tc>
          <w:tcPr>
            <w:tcW w:w="12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06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324,643</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(46,693)</w:t>
            </w:r>
          </w:p>
        </w:tc>
        <w:tc>
          <w:tcPr>
            <w:tcW w:w="10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277,950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State and municipal</w:t>
            </w:r>
          </w:p>
        </w:tc>
        <w:tc>
          <w:tcPr>
            <w:tcW w:w="2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1,069,653</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1,069,408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868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(137,706)</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932,815</w:t>
            </w:r>
          </w:p>
        </w:tc>
        <w:tc>
          <w:tcPr>
            <w:tcW w:w="0" w:type="dxa"/>
            <w:vAlign w:val="bottom"/>
          </w:tcPr>
          <w:p>
            <w:pPr>
              <w:spacing w:after="0"/>
              <w:rPr>
                <w:sz w:val="1"/>
                <w:szCs w:val="1"/>
                <w:color w:val="auto"/>
              </w:rPr>
            </w:pPr>
          </w:p>
        </w:tc>
      </w:tr>
      <w:tr>
        <w:trPr>
          <w:trHeight w:val="156"/>
        </w:trPr>
        <w:tc>
          <w:tcPr>
            <w:tcW w:w="3560" w:type="dxa"/>
            <w:vAlign w:val="bottom"/>
          </w:tcPr>
          <w:p>
            <w:pPr>
              <w:ind w:left="140"/>
              <w:spacing w:after="0"/>
              <w:rPr>
                <w:sz w:val="20"/>
                <w:szCs w:val="20"/>
                <w:color w:val="auto"/>
              </w:rPr>
            </w:pPr>
            <w:r>
              <w:rPr>
                <w:rFonts w:ascii="Arial" w:cs="Arial" w:eastAsia="Arial" w:hAnsi="Arial"/>
                <w:sz w:val="11"/>
                <w:szCs w:val="11"/>
                <w:color w:val="auto"/>
              </w:rPr>
              <w:t>U.S. Government-sponsored mortgage-backed securities</w:t>
            </w:r>
          </w:p>
        </w:tc>
        <w:tc>
          <w:tcPr>
            <w:tcW w:w="20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577,488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78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577,488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(69,966)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507,522</w:t>
            </w:r>
          </w:p>
        </w:tc>
        <w:tc>
          <w:tcPr>
            <w:tcW w:w="0" w:type="dxa"/>
            <w:vAlign w:val="bottom"/>
          </w:tcPr>
          <w:p>
            <w:pPr>
              <w:spacing w:after="0"/>
              <w:rPr>
                <w:sz w:val="1"/>
                <w:szCs w:val="1"/>
                <w:color w:val="auto"/>
              </w:rPr>
            </w:pPr>
          </w:p>
        </w:tc>
      </w:tr>
      <w:tr>
        <w:trPr>
          <w:trHeight w:val="187"/>
        </w:trPr>
        <w:tc>
          <w:tcPr>
            <w:tcW w:w="35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held to maturity</w:t>
            </w: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1,971,784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1,971,539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(254,365)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1,718,287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jc w:val="both"/>
        <w:ind w:right="100"/>
        <w:spacing w:after="0" w:line="283" w:lineRule="auto"/>
        <w:rPr>
          <w:sz w:val="20"/>
          <w:szCs w:val="20"/>
          <w:color w:val="auto"/>
        </w:rPr>
      </w:pPr>
      <w:r>
        <w:rPr>
          <w:rFonts w:ascii="Arial" w:cs="Arial" w:eastAsia="Arial" w:hAnsi="Arial"/>
          <w:sz w:val="14"/>
          <w:szCs w:val="14"/>
          <w:color w:val="auto"/>
        </w:rPr>
        <w:t>Accrued interest on investment securities available for sale and held to maturity at September 30, 2026 and December 31, 2025 of $18.6 million and $21.9 million, respectively, is included in the "Interest receivable" line on the Corporation's Consolidated Condensed Balance Sheets. The total amount of accrued interest is excluded from the amortized cost of available for sale and held to maturity securities presented above.</w:t>
      </w:r>
    </w:p>
    <w:p>
      <w:pPr>
        <w:spacing w:after="0" w:line="186"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In determining the allowance for credit losses on investment securities available for sale that are in an unrealized loss position, the Corporation evaluates available-for-sale debt securities in an unrealized loss position to determine whether credit loss allowance is required. In making this assessment, the Corporation considers the severity of the decline in fair value, changes in credit ratings, and other security-specific factors. Unrealized losses are recognized in other comprehensive income (loss). At September 30, 2026, management concluded that unrealized losses on available-for-sale securities were primarily attributable to changes in market interest rates and, therefore, no allowance for credit losses was recorded.</w:t>
      </w:r>
    </w:p>
    <w:p>
      <w:pPr>
        <w:spacing w:after="0" w:line="195" w:lineRule="exact"/>
        <w:rPr>
          <w:sz w:val="20"/>
          <w:szCs w:val="20"/>
          <w:color w:val="auto"/>
        </w:rPr>
      </w:pPr>
    </w:p>
    <w:p>
      <w:pPr>
        <w:ind w:right="140"/>
        <w:spacing w:after="0" w:line="305" w:lineRule="auto"/>
        <w:rPr>
          <w:sz w:val="20"/>
          <w:szCs w:val="20"/>
          <w:color w:val="auto"/>
        </w:rPr>
      </w:pPr>
      <w:r>
        <w:rPr>
          <w:rFonts w:ascii="Arial" w:cs="Arial" w:eastAsia="Arial" w:hAnsi="Arial"/>
          <w:sz w:val="14"/>
          <w:szCs w:val="14"/>
          <w:color w:val="auto"/>
        </w:rPr>
        <w:t>Adjustments to the allowance are reported in the income statement as a component of the provision for credit losses. The Corporation has made the accounting policy election to exclude accrued interest receivable on investment securities available for sale from the estimate of credit losses.</w:t>
      </w:r>
    </w:p>
    <w:p>
      <w:pPr>
        <w:spacing w:after="0" w:line="185"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The allowance for credit losses on investment securities held to maturity is a contra asset-valuation account. The Corporation estimates expected credit losses on investment securities held to maturity by major security type using historical loss information, current conditions, and reasonable and supportable forecasts. The Corporation elected to exclude accrued interest receivable on investment securities held to maturity from the estimate of credit losses.</w:t>
      </w:r>
    </w:p>
    <w:p>
      <w:pPr>
        <w:spacing w:after="0" w:line="186"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No allowance for credit losses has been recorded for U.S. Government-sponsored agency and mortgage-backed securities due to the expectation of full collection of contractual cash flows.</w:t>
      </w:r>
    </w:p>
    <w:p>
      <w:pPr>
        <w:spacing w:after="0" w:line="185"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With regard to securities issued by states and municipalities and other investment securities held to maturity, management considers credit ratings, issuer financial condition, and payment performance when evaluating expected credit losses. Furthermore, as of September 30, 2026, there were no past due principal and interest payments associated with these securities.</w:t>
      </w:r>
    </w:p>
    <w:p>
      <w:pPr>
        <w:spacing w:after="0" w:line="186"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The balance of the allowance for credit losses on investment securities held to maturity remained unchanged at $245,000 as of September 30, 2026 and December 31, 2025 based on applying the long-term historical credit rate, as published by Moody's, for similarly rated securities.</w:t>
      </w:r>
    </w:p>
    <w:p>
      <w:pPr>
        <w:spacing w:after="0" w:line="185" w:lineRule="exact"/>
        <w:rPr>
          <w:sz w:val="20"/>
          <w:szCs w:val="20"/>
          <w:color w:val="auto"/>
        </w:rPr>
      </w:pPr>
    </w:p>
    <w:p>
      <w:pPr>
        <w:jc w:val="both"/>
        <w:ind w:right="180"/>
        <w:spacing w:after="0" w:line="268" w:lineRule="auto"/>
        <w:rPr>
          <w:sz w:val="20"/>
          <w:szCs w:val="20"/>
          <w:color w:val="auto"/>
        </w:rPr>
      </w:pPr>
      <w:r>
        <w:rPr>
          <w:rFonts w:ascii="Arial" w:cs="Arial" w:eastAsia="Arial" w:hAnsi="Arial"/>
          <w:sz w:val="14"/>
          <w:szCs w:val="14"/>
          <w:color w:val="auto"/>
        </w:rPr>
        <w:t>On a quarterly basis, the Corporation monitors the credit quality of investment securities held to maturity through the use of issuer financial information and credit ratings. The following tables summarize the amortized cost of investment securities held to maturity at September 30, 2026 and December 31, 2025, aggregated by credit quality indicator.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rPr>
              <w:t>September 30, 2026</w:t>
            </w: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U.S. Government-sponsored</w:t>
            </w: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3"/>
          </w:tcPr>
          <w:p>
            <w:pPr>
              <w:ind w:left="40"/>
              <w:spacing w:after="0" w:line="109" w:lineRule="exact"/>
              <w:rPr>
                <w:sz w:val="20"/>
                <w:szCs w:val="20"/>
                <w:color w:val="auto"/>
              </w:rPr>
            </w:pPr>
            <w:r>
              <w:rPr>
                <w:rFonts w:ascii="Arial" w:cs="Arial" w:eastAsia="Arial" w:hAnsi="Arial"/>
                <w:sz w:val="11"/>
                <w:szCs w:val="11"/>
                <w:b w:val="1"/>
                <w:bCs w:val="1"/>
                <w:color w:val="auto"/>
              </w:rPr>
              <w:t>U.S. Government-sponsored</w:t>
            </w: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State and municipal</w:t>
            </w:r>
          </w:p>
        </w:tc>
        <w:tc>
          <w:tcPr>
            <w:tcW w:w="1640" w:type="dxa"/>
            <w:vAlign w:val="bottom"/>
            <w:gridSpan w:val="3"/>
          </w:tcPr>
          <w:p>
            <w:pPr>
              <w:ind w:left="60"/>
              <w:spacing w:after="0" w:line="108" w:lineRule="exact"/>
              <w:rPr>
                <w:sz w:val="20"/>
                <w:szCs w:val="20"/>
                <w:color w:val="auto"/>
              </w:rPr>
            </w:pPr>
            <w:r>
              <w:rPr>
                <w:rFonts w:ascii="Arial" w:cs="Arial" w:eastAsia="Arial" w:hAnsi="Arial"/>
                <w:sz w:val="11"/>
                <w:szCs w:val="11"/>
                <w:b w:val="1"/>
                <w:bCs w:val="1"/>
                <w:color w:val="auto"/>
              </w:rPr>
              <w:t>mortgage-backed securities</w:t>
            </w:r>
          </w:p>
        </w:tc>
        <w:tc>
          <w:tcPr>
            <w:tcW w:w="360" w:type="dxa"/>
            <w:vAlign w:val="bottom"/>
          </w:tcPr>
          <w:p>
            <w:pPr>
              <w:spacing w:after="0"/>
              <w:rPr>
                <w:sz w:val="9"/>
                <w:szCs w:val="9"/>
                <w:color w:val="auto"/>
              </w:rPr>
            </w:pPr>
          </w:p>
        </w:tc>
        <w:tc>
          <w:tcPr>
            <w:tcW w:w="1180" w:type="dxa"/>
            <w:vAlign w:val="bottom"/>
            <w:vMerge w:val="restart"/>
          </w:tcPr>
          <w:p>
            <w:pPr>
              <w:jc w:val="right"/>
              <w:ind w:right="5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1"/>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 xml:space="preserve">agency securities </w:t>
            </w:r>
            <w:r>
              <w:rPr>
                <w:rFonts w:ascii="Arial" w:cs="Arial" w:eastAsia="Arial" w:hAnsi="Arial"/>
                <w:sz w:val="7"/>
                <w:szCs w:val="7"/>
                <w:b w:val="1"/>
                <w:bCs w:val="1"/>
                <w:color w:val="auto"/>
              </w:rPr>
              <w:t>(1)</w:t>
            </w:r>
          </w:p>
        </w:tc>
        <w:tc>
          <w:tcPr>
            <w:tcW w:w="16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jc w:val="right"/>
              <w:ind w:right="668"/>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Credit Rating:</w:t>
            </w:r>
          </w:p>
        </w:tc>
        <w:tc>
          <w:tcPr>
            <w:tcW w:w="1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rPr>
                <w:sz w:val="20"/>
                <w:szCs w:val="20"/>
                <w:color w:val="auto"/>
              </w:rPr>
            </w:pPr>
            <w:r>
              <w:rPr>
                <w:rFonts w:ascii="Arial" w:cs="Arial" w:eastAsia="Arial" w:hAnsi="Arial"/>
                <w:sz w:val="11"/>
                <w:szCs w:val="11"/>
                <w:color w:val="auto"/>
              </w:rPr>
              <w:t>Aaa</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308,998</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73,549</w:t>
            </w:r>
          </w:p>
        </w:tc>
        <w:tc>
          <w:tcPr>
            <w:tcW w:w="100" w:type="dxa"/>
            <w:vAlign w:val="bottom"/>
          </w:tcPr>
          <w:p>
            <w:pPr>
              <w:spacing w:after="0"/>
              <w:rPr>
                <w:sz w:val="12"/>
                <w:szCs w:val="12"/>
                <w:color w:val="auto"/>
              </w:rPr>
            </w:pPr>
          </w:p>
        </w:tc>
        <w:tc>
          <w:tcPr>
            <w:tcW w:w="600" w:type="dxa"/>
            <w:vAlign w:val="bottom"/>
          </w:tcPr>
          <w:p>
            <w:pPr>
              <w:ind w:left="2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
              <w:spacing w:after="0"/>
              <w:rPr>
                <w:sz w:val="20"/>
                <w:szCs w:val="20"/>
                <w:color w:val="auto"/>
              </w:rPr>
            </w:pPr>
            <w:r>
              <w:rPr>
                <w:rFonts w:ascii="Arial" w:cs="Arial" w:eastAsia="Arial" w:hAnsi="Arial"/>
                <w:sz w:val="11"/>
                <w:szCs w:val="11"/>
                <w:color w:val="auto"/>
              </w:rPr>
              <w:t>520,807</w:t>
            </w:r>
          </w:p>
        </w:tc>
        <w:tc>
          <w:tcPr>
            <w:tcW w:w="10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903,354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Aa1</w:t>
            </w:r>
          </w:p>
        </w:tc>
        <w:tc>
          <w:tcPr>
            <w:tcW w:w="16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216,863</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216,863</w:t>
            </w:r>
          </w:p>
        </w:tc>
        <w:tc>
          <w:tcPr>
            <w:tcW w:w="0" w:type="dxa"/>
            <w:vAlign w:val="bottom"/>
          </w:tcPr>
          <w:p>
            <w:pPr>
              <w:spacing w:after="0"/>
              <w:rPr>
                <w:sz w:val="1"/>
                <w:szCs w:val="1"/>
                <w:color w:val="auto"/>
              </w:rPr>
            </w:pPr>
          </w:p>
        </w:tc>
      </w:tr>
      <w:tr>
        <w:trPr>
          <w:trHeight w:val="152"/>
        </w:trPr>
        <w:tc>
          <w:tcPr>
            <w:tcW w:w="4820" w:type="dxa"/>
            <w:vAlign w:val="bottom"/>
          </w:tcPr>
          <w:p>
            <w:pPr>
              <w:ind w:left="20"/>
              <w:spacing w:after="0"/>
              <w:rPr>
                <w:sz w:val="20"/>
                <w:szCs w:val="20"/>
                <w:color w:val="auto"/>
              </w:rPr>
            </w:pPr>
            <w:r>
              <w:rPr>
                <w:rFonts w:ascii="Arial" w:cs="Arial" w:eastAsia="Arial" w:hAnsi="Arial"/>
                <w:sz w:val="11"/>
                <w:szCs w:val="11"/>
                <w:color w:val="auto"/>
              </w:rPr>
              <w:t>Aa2</w:t>
            </w:r>
          </w:p>
        </w:tc>
        <w:tc>
          <w:tcPr>
            <w:tcW w:w="16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148,671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148,671</w:t>
            </w:r>
          </w:p>
        </w:tc>
        <w:tc>
          <w:tcPr>
            <w:tcW w:w="0" w:type="dxa"/>
            <w:vAlign w:val="bottom"/>
          </w:tcPr>
          <w:p>
            <w:pPr>
              <w:spacing w:after="0"/>
              <w:rPr>
                <w:sz w:val="1"/>
                <w:szCs w:val="1"/>
                <w:color w:val="auto"/>
              </w:rPr>
            </w:pPr>
          </w:p>
        </w:tc>
      </w:tr>
      <w:tr>
        <w:trPr>
          <w:trHeight w:val="15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Aa3</w:t>
            </w:r>
          </w:p>
        </w:tc>
        <w:tc>
          <w:tcPr>
            <w:tcW w:w="1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187,732</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187,732</w:t>
            </w: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rPr>
                <w:sz w:val="20"/>
                <w:szCs w:val="20"/>
                <w:color w:val="auto"/>
              </w:rPr>
            </w:pPr>
            <w:r>
              <w:rPr>
                <w:rFonts w:ascii="Arial" w:cs="Arial" w:eastAsia="Arial" w:hAnsi="Arial"/>
                <w:sz w:val="11"/>
                <w:szCs w:val="11"/>
                <w:color w:val="auto"/>
              </w:rPr>
              <w:t>A1</w:t>
            </w:r>
          </w:p>
        </w:tc>
        <w:tc>
          <w:tcPr>
            <w:tcW w:w="160" w:type="dxa"/>
            <w:vAlign w:val="bottom"/>
          </w:tcPr>
          <w:p>
            <w:pPr>
              <w:spacing w:after="0"/>
              <w:rPr>
                <w:sz w:val="12"/>
                <w:szCs w:val="1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59,622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59,622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A2</w:t>
            </w:r>
          </w:p>
        </w:tc>
        <w:tc>
          <w:tcPr>
            <w:tcW w:w="16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10,192</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10,192</w:t>
            </w:r>
          </w:p>
        </w:tc>
        <w:tc>
          <w:tcPr>
            <w:tcW w:w="0" w:type="dxa"/>
            <w:vAlign w:val="bottom"/>
          </w:tcPr>
          <w:p>
            <w:pPr>
              <w:spacing w:after="0"/>
              <w:rPr>
                <w:sz w:val="1"/>
                <w:szCs w:val="1"/>
                <w:color w:val="auto"/>
              </w:rPr>
            </w:pPr>
          </w:p>
        </w:tc>
      </w:tr>
      <w:tr>
        <w:trPr>
          <w:trHeight w:val="152"/>
        </w:trPr>
        <w:tc>
          <w:tcPr>
            <w:tcW w:w="4820" w:type="dxa"/>
            <w:vAlign w:val="bottom"/>
          </w:tcPr>
          <w:p>
            <w:pPr>
              <w:ind w:left="20"/>
              <w:spacing w:after="0"/>
              <w:rPr>
                <w:sz w:val="20"/>
                <w:szCs w:val="20"/>
                <w:color w:val="auto"/>
              </w:rPr>
            </w:pPr>
            <w:r>
              <w:rPr>
                <w:rFonts w:ascii="Arial" w:cs="Arial" w:eastAsia="Arial" w:hAnsi="Arial"/>
                <w:sz w:val="11"/>
                <w:szCs w:val="11"/>
                <w:color w:val="auto"/>
              </w:rPr>
              <w:t>A3</w:t>
            </w:r>
          </w:p>
        </w:tc>
        <w:tc>
          <w:tcPr>
            <w:tcW w:w="16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10,156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10,156</w:t>
            </w: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Non-rated</w:t>
            </w: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336,606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336,606</w:t>
            </w:r>
          </w:p>
        </w:tc>
        <w:tc>
          <w:tcPr>
            <w:tcW w:w="0" w:type="dxa"/>
            <w:vAlign w:val="bottom"/>
          </w:tcPr>
          <w:p>
            <w:pPr>
              <w:spacing w:after="0"/>
              <w:rPr>
                <w:sz w:val="1"/>
                <w:szCs w:val="1"/>
                <w:color w:val="auto"/>
              </w:rPr>
            </w:pPr>
          </w:p>
        </w:tc>
      </w:tr>
      <w:tr>
        <w:trPr>
          <w:trHeight w:val="162"/>
        </w:trPr>
        <w:tc>
          <w:tcPr>
            <w:tcW w:w="4820" w:type="dxa"/>
            <w:vAlign w:val="bottom"/>
          </w:tcPr>
          <w:p>
            <w:pPr>
              <w:ind w:left="240"/>
              <w:spacing w:after="0"/>
              <w:rPr>
                <w:sz w:val="20"/>
                <w:szCs w:val="20"/>
                <w:color w:val="auto"/>
              </w:rPr>
            </w:pPr>
            <w:r>
              <w:rPr>
                <w:rFonts w:ascii="Arial" w:cs="Arial" w:eastAsia="Arial" w:hAnsi="Arial"/>
                <w:sz w:val="11"/>
                <w:szCs w:val="11"/>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308,998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1,043,391</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520,807</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1,873,196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40" w:firstLine="8"/>
        <w:spacing w:after="0" w:line="238" w:lineRule="auto"/>
        <w:tabs>
          <w:tab w:leader="none" w:pos="115"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U.S. Government-sponsored agency securities and U.S. Government-sponsored mortgage-backed securities are included within the Aaa credit rating category due to their explicit or implicit government guarantees, which provide a high level of assurance regarding the timely collection of principal and interest payments.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940"/>
              <w:spacing w:after="0"/>
              <w:rPr>
                <w:sz w:val="20"/>
                <w:szCs w:val="20"/>
                <w:color w:val="auto"/>
              </w:rPr>
            </w:pPr>
            <w:r>
              <w:rPr>
                <w:rFonts w:ascii="Arial" w:cs="Arial" w:eastAsia="Arial" w:hAnsi="Arial"/>
                <w:sz w:val="11"/>
                <w:szCs w:val="11"/>
                <w:b w:val="1"/>
                <w:bCs w:val="1"/>
                <w:color w:val="auto"/>
              </w:rPr>
              <w:t>December 31, 2025</w:t>
            </w: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U.S. Government-sponsored</w:t>
            </w: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3"/>
          </w:tcPr>
          <w:p>
            <w:pPr>
              <w:ind w:left="40"/>
              <w:spacing w:after="0" w:line="109" w:lineRule="exact"/>
              <w:rPr>
                <w:sz w:val="20"/>
                <w:szCs w:val="20"/>
                <w:color w:val="auto"/>
              </w:rPr>
            </w:pPr>
            <w:r>
              <w:rPr>
                <w:rFonts w:ascii="Arial" w:cs="Arial" w:eastAsia="Arial" w:hAnsi="Arial"/>
                <w:sz w:val="11"/>
                <w:szCs w:val="11"/>
                <w:b w:val="1"/>
                <w:bCs w:val="1"/>
                <w:color w:val="auto"/>
              </w:rPr>
              <w:t>U.S. Government-sponsored</w:t>
            </w: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State and municipal</w:t>
            </w:r>
          </w:p>
        </w:tc>
        <w:tc>
          <w:tcPr>
            <w:tcW w:w="1640" w:type="dxa"/>
            <w:vAlign w:val="bottom"/>
            <w:gridSpan w:val="3"/>
          </w:tcPr>
          <w:p>
            <w:pPr>
              <w:ind w:left="60"/>
              <w:spacing w:after="0" w:line="108" w:lineRule="exact"/>
              <w:rPr>
                <w:sz w:val="20"/>
                <w:szCs w:val="20"/>
                <w:color w:val="auto"/>
              </w:rPr>
            </w:pPr>
            <w:r>
              <w:rPr>
                <w:rFonts w:ascii="Arial" w:cs="Arial" w:eastAsia="Arial" w:hAnsi="Arial"/>
                <w:sz w:val="11"/>
                <w:szCs w:val="11"/>
                <w:b w:val="1"/>
                <w:bCs w:val="1"/>
                <w:color w:val="auto"/>
              </w:rPr>
              <w:t>mortgage-backed securities</w:t>
            </w:r>
          </w:p>
        </w:tc>
        <w:tc>
          <w:tcPr>
            <w:tcW w:w="360" w:type="dxa"/>
            <w:vAlign w:val="bottom"/>
          </w:tcPr>
          <w:p>
            <w:pPr>
              <w:spacing w:after="0"/>
              <w:rPr>
                <w:sz w:val="9"/>
                <w:szCs w:val="9"/>
                <w:color w:val="auto"/>
              </w:rPr>
            </w:pPr>
          </w:p>
        </w:tc>
        <w:tc>
          <w:tcPr>
            <w:tcW w:w="1180" w:type="dxa"/>
            <w:vAlign w:val="bottom"/>
            <w:vMerge w:val="restart"/>
          </w:tcPr>
          <w:p>
            <w:pPr>
              <w:jc w:val="right"/>
              <w:ind w:right="5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1"/>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 xml:space="preserve">agency securities </w:t>
            </w:r>
            <w:r>
              <w:rPr>
                <w:rFonts w:ascii="Arial" w:cs="Arial" w:eastAsia="Arial" w:hAnsi="Arial"/>
                <w:sz w:val="14"/>
                <w:szCs w:val="14"/>
                <w:b w:val="1"/>
                <w:bCs w:val="1"/>
                <w:color w:val="auto"/>
                <w:vertAlign w:val="superscript"/>
              </w:rPr>
              <w:t>(1)</w:t>
            </w:r>
          </w:p>
        </w:tc>
        <w:tc>
          <w:tcPr>
            <w:tcW w:w="16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jc w:val="right"/>
              <w:ind w:right="668"/>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Credit Rating:</w:t>
            </w:r>
          </w:p>
        </w:tc>
        <w:tc>
          <w:tcPr>
            <w:tcW w:w="1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rPr>
                <w:sz w:val="20"/>
                <w:szCs w:val="20"/>
                <w:color w:val="auto"/>
              </w:rPr>
            </w:pPr>
            <w:r>
              <w:rPr>
                <w:rFonts w:ascii="Arial" w:cs="Arial" w:eastAsia="Arial" w:hAnsi="Arial"/>
                <w:sz w:val="11"/>
                <w:szCs w:val="11"/>
                <w:color w:val="auto"/>
              </w:rPr>
              <w:t>Aaa</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324,643</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75,598</w:t>
            </w:r>
          </w:p>
        </w:tc>
        <w:tc>
          <w:tcPr>
            <w:tcW w:w="100" w:type="dxa"/>
            <w:vAlign w:val="bottom"/>
          </w:tcPr>
          <w:p>
            <w:pPr>
              <w:spacing w:after="0"/>
              <w:rPr>
                <w:sz w:val="12"/>
                <w:szCs w:val="12"/>
                <w:color w:val="auto"/>
              </w:rPr>
            </w:pPr>
          </w:p>
        </w:tc>
        <w:tc>
          <w:tcPr>
            <w:tcW w:w="600" w:type="dxa"/>
            <w:vAlign w:val="bottom"/>
          </w:tcPr>
          <w:p>
            <w:pPr>
              <w:ind w:left="20"/>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8"/>
              <w:spacing w:after="0"/>
              <w:rPr>
                <w:sz w:val="20"/>
                <w:szCs w:val="20"/>
                <w:color w:val="auto"/>
              </w:rPr>
            </w:pPr>
            <w:r>
              <w:rPr>
                <w:rFonts w:ascii="Arial" w:cs="Arial" w:eastAsia="Arial" w:hAnsi="Arial"/>
                <w:sz w:val="11"/>
                <w:szCs w:val="11"/>
                <w:color w:val="auto"/>
              </w:rPr>
              <w:t>577,488</w:t>
            </w:r>
          </w:p>
        </w:tc>
        <w:tc>
          <w:tcPr>
            <w:tcW w:w="10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977,729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Aa1</w:t>
            </w:r>
          </w:p>
        </w:tc>
        <w:tc>
          <w:tcPr>
            <w:tcW w:w="16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200,189</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200,189</w:t>
            </w:r>
          </w:p>
        </w:tc>
        <w:tc>
          <w:tcPr>
            <w:tcW w:w="0" w:type="dxa"/>
            <w:vAlign w:val="bottom"/>
          </w:tcPr>
          <w:p>
            <w:pPr>
              <w:spacing w:after="0"/>
              <w:rPr>
                <w:sz w:val="1"/>
                <w:szCs w:val="1"/>
                <w:color w:val="auto"/>
              </w:rPr>
            </w:pPr>
          </w:p>
        </w:tc>
      </w:tr>
      <w:tr>
        <w:trPr>
          <w:trHeight w:val="152"/>
        </w:trPr>
        <w:tc>
          <w:tcPr>
            <w:tcW w:w="4820" w:type="dxa"/>
            <w:vAlign w:val="bottom"/>
          </w:tcPr>
          <w:p>
            <w:pPr>
              <w:ind w:left="20"/>
              <w:spacing w:after="0"/>
              <w:rPr>
                <w:sz w:val="20"/>
                <w:szCs w:val="20"/>
                <w:color w:val="auto"/>
              </w:rPr>
            </w:pPr>
            <w:r>
              <w:rPr>
                <w:rFonts w:ascii="Arial" w:cs="Arial" w:eastAsia="Arial" w:hAnsi="Arial"/>
                <w:sz w:val="11"/>
                <w:szCs w:val="11"/>
                <w:color w:val="auto"/>
              </w:rPr>
              <w:t>Aa2</w:t>
            </w:r>
          </w:p>
        </w:tc>
        <w:tc>
          <w:tcPr>
            <w:tcW w:w="16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172,127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172,127</w:t>
            </w: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Aa3</w:t>
            </w: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192,682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192,682</w:t>
            </w: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rPr>
                <w:sz w:val="20"/>
                <w:szCs w:val="20"/>
                <w:color w:val="auto"/>
              </w:rPr>
            </w:pPr>
            <w:r>
              <w:rPr>
                <w:rFonts w:ascii="Arial" w:cs="Arial" w:eastAsia="Arial" w:hAnsi="Arial"/>
                <w:sz w:val="11"/>
                <w:szCs w:val="11"/>
                <w:color w:val="auto"/>
              </w:rPr>
              <w:t>A1</w:t>
            </w:r>
          </w:p>
        </w:tc>
        <w:tc>
          <w:tcPr>
            <w:tcW w:w="160" w:type="dxa"/>
            <w:vAlign w:val="bottom"/>
          </w:tcPr>
          <w:p>
            <w:pPr>
              <w:spacing w:after="0"/>
              <w:rPr>
                <w:sz w:val="12"/>
                <w:szCs w:val="1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59,631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59,631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A2</w:t>
            </w:r>
          </w:p>
        </w:tc>
        <w:tc>
          <w:tcPr>
            <w:tcW w:w="16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13,664</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13,664</w:t>
            </w: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rPr>
                <w:sz w:val="20"/>
                <w:szCs w:val="20"/>
                <w:color w:val="auto"/>
              </w:rPr>
            </w:pPr>
            <w:r>
              <w:rPr>
                <w:rFonts w:ascii="Arial" w:cs="Arial" w:eastAsia="Arial" w:hAnsi="Arial"/>
                <w:sz w:val="11"/>
                <w:szCs w:val="11"/>
                <w:color w:val="auto"/>
              </w:rPr>
              <w:t>A3</w:t>
            </w:r>
          </w:p>
        </w:tc>
        <w:tc>
          <w:tcPr>
            <w:tcW w:w="160" w:type="dxa"/>
            <w:vAlign w:val="bottom"/>
          </w:tcPr>
          <w:p>
            <w:pPr>
              <w:spacing w:after="0"/>
              <w:rPr>
                <w:sz w:val="12"/>
                <w:szCs w:val="1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6,670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6,670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Non-rated</w:t>
            </w: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349,092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349,092</w:t>
            </w:r>
          </w:p>
        </w:tc>
        <w:tc>
          <w:tcPr>
            <w:tcW w:w="0" w:type="dxa"/>
            <w:vAlign w:val="bottom"/>
          </w:tcPr>
          <w:p>
            <w:pPr>
              <w:spacing w:after="0"/>
              <w:rPr>
                <w:sz w:val="1"/>
                <w:szCs w:val="1"/>
                <w:color w:val="auto"/>
              </w:rPr>
            </w:pPr>
          </w:p>
        </w:tc>
      </w:tr>
      <w:tr>
        <w:trPr>
          <w:trHeight w:val="162"/>
        </w:trPr>
        <w:tc>
          <w:tcPr>
            <w:tcW w:w="4820" w:type="dxa"/>
            <w:vAlign w:val="bottom"/>
            <w:tcBorders>
              <w:top w:val="single" w:sz="8" w:color="CCEEFF"/>
            </w:tcBorders>
          </w:tcPr>
          <w:p>
            <w:pPr>
              <w:ind w:left="240"/>
              <w:spacing w:after="0"/>
              <w:rPr>
                <w:sz w:val="20"/>
                <w:szCs w:val="20"/>
                <w:color w:val="auto"/>
              </w:rPr>
            </w:pPr>
            <w:r>
              <w:rPr>
                <w:rFonts w:ascii="Arial" w:cs="Arial" w:eastAsia="Arial" w:hAnsi="Arial"/>
                <w:sz w:val="11"/>
                <w:szCs w:val="11"/>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324,643</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1,069,653</w:t>
            </w:r>
          </w:p>
        </w:tc>
        <w:tc>
          <w:tcPr>
            <w:tcW w:w="100" w:type="dxa"/>
            <w:vAlign w:val="bottom"/>
            <w:tcBorders>
              <w:top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577,488</w:t>
            </w: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1,971,784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140" w:firstLine="8"/>
        <w:spacing w:after="0" w:line="265" w:lineRule="auto"/>
        <w:tabs>
          <w:tab w:leader="none" w:pos="115"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U.S. Government-sponsored agency securities and U.S. Government-sponsored mortgage-backed securities are included within the Aaa credit rating category due to their explicit or implicit government guarantees, which provide a high level of assurance regarding the timely collection of principal and interest payments.</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660"/>
        <w:spacing w:after="0" w:line="305" w:lineRule="auto"/>
        <w:rPr>
          <w:sz w:val="20"/>
          <w:szCs w:val="20"/>
          <w:color w:val="auto"/>
        </w:rPr>
      </w:pPr>
      <w:r>
        <w:rPr>
          <w:rFonts w:ascii="Arial" w:cs="Arial" w:eastAsia="Arial" w:hAnsi="Arial"/>
          <w:sz w:val="14"/>
          <w:szCs w:val="14"/>
          <w:color w:val="auto"/>
        </w:rPr>
        <w:t>The following tables summarize, as of September 30, 2026 and December 31, 2025, investment securities available for sale in an unrealized loss position for which an allowance for credit losses has not been recorded, aggregated by security type and length of time in a continuous unrealized loss position.</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1"/>
                <w:szCs w:val="11"/>
                <w:b w:val="1"/>
                <w:bCs w:val="1"/>
                <w:color w:val="auto"/>
              </w:rPr>
              <w:t>Less than 12 Months</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1"/>
                <w:szCs w:val="11"/>
                <w:b w:val="1"/>
                <w:bCs w:val="1"/>
                <w:color w:val="auto"/>
              </w:rPr>
              <w:t>12 Months or Longer</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rPr>
              <w:t>Total</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94"/>
              </w:rPr>
              <w:t>Gross</w:t>
            </w:r>
          </w:p>
        </w:tc>
        <w:tc>
          <w:tcPr>
            <w:tcW w:w="200" w:type="dxa"/>
            <w:vAlign w:val="bottom"/>
          </w:tcPr>
          <w:p>
            <w:pPr>
              <w:spacing w:after="0"/>
              <w:rPr>
                <w:sz w:val="9"/>
                <w:szCs w:val="9"/>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9"/>
                <w:szCs w:val="9"/>
                <w:color w:val="auto"/>
              </w:rPr>
            </w:pPr>
          </w:p>
        </w:tc>
        <w:tc>
          <w:tcPr>
            <w:tcW w:w="94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9"/>
                <w:szCs w:val="9"/>
                <w:color w:val="auto"/>
              </w:rPr>
            </w:pPr>
          </w:p>
        </w:tc>
        <w:tc>
          <w:tcPr>
            <w:tcW w:w="840" w:type="dxa"/>
            <w:vAlign w:val="bottom"/>
          </w:tcPr>
          <w:p>
            <w:pPr>
              <w:jc w:val="center"/>
              <w:ind w:right="86"/>
              <w:spacing w:after="0" w:line="109" w:lineRule="exact"/>
              <w:rPr>
                <w:sz w:val="20"/>
                <w:szCs w:val="20"/>
                <w:color w:val="auto"/>
              </w:rPr>
            </w:pPr>
            <w:r>
              <w:rPr>
                <w:rFonts w:ascii="Arial" w:cs="Arial" w:eastAsia="Arial" w:hAnsi="Arial"/>
                <w:sz w:val="11"/>
                <w:szCs w:val="11"/>
                <w:b w:val="1"/>
                <w:bCs w:val="1"/>
                <w:color w:val="auto"/>
                <w:w w:val="94"/>
              </w:rPr>
              <w:t>Gross</w:t>
            </w: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6"/>
              </w:rPr>
              <w:t>Unrealized</w:t>
            </w:r>
          </w:p>
        </w:tc>
        <w:tc>
          <w:tcPr>
            <w:tcW w:w="2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rPr>
              <w:t>Unrealized</w:t>
            </w:r>
          </w:p>
        </w:tc>
        <w:tc>
          <w:tcPr>
            <w:tcW w:w="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96"/>
              </w:rPr>
              <w:t>Unrealized</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Value</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Value</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Losses</w:t>
            </w:r>
          </w:p>
        </w:tc>
        <w:tc>
          <w:tcPr>
            <w:tcW w:w="2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Value</w:t>
            </w:r>
          </w:p>
        </w:tc>
        <w:tc>
          <w:tcPr>
            <w:tcW w:w="140" w:type="dxa"/>
            <w:vAlign w:val="bottom"/>
          </w:tcPr>
          <w:p>
            <w:pPr>
              <w:spacing w:after="0"/>
              <w:rPr>
                <w:sz w:val="13"/>
                <w:szCs w:val="13"/>
                <w:color w:val="auto"/>
              </w:rPr>
            </w:pPr>
          </w:p>
        </w:tc>
        <w:tc>
          <w:tcPr>
            <w:tcW w:w="840" w:type="dxa"/>
            <w:vAlign w:val="bottom"/>
          </w:tcPr>
          <w:p>
            <w:pPr>
              <w:jc w:val="center"/>
              <w:ind w:right="86"/>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1"/>
                <w:szCs w:val="11"/>
                <w:b w:val="1"/>
                <w:bCs w:val="1"/>
                <w:color w:val="auto"/>
              </w:rPr>
              <w:t>Investment securities available for sale at September 30, 2026</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U.S. Government-sponsored agency securities</w:t>
            </w:r>
          </w:p>
        </w:tc>
        <w:tc>
          <w:tcPr>
            <w:tcW w:w="2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67,166</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(14,346)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67,196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(14,347)</w:t>
            </w:r>
          </w:p>
        </w:tc>
        <w:tc>
          <w:tcPr>
            <w:tcW w:w="0" w:type="dxa"/>
            <w:vAlign w:val="bottom"/>
          </w:tcPr>
          <w:p>
            <w:pPr>
              <w:spacing w:after="0"/>
              <w:rPr>
                <w:sz w:val="1"/>
                <w:szCs w:val="1"/>
                <w:color w:val="auto"/>
              </w:rPr>
            </w:pPr>
          </w:p>
        </w:tc>
      </w:tr>
      <w:tr>
        <w:trPr>
          <w:trHeight w:val="142"/>
        </w:trPr>
        <w:tc>
          <w:tcPr>
            <w:tcW w:w="4740" w:type="dxa"/>
            <w:vAlign w:val="bottom"/>
          </w:tcPr>
          <w:p>
            <w:pPr>
              <w:ind w:left="200"/>
              <w:spacing w:after="0"/>
              <w:rPr>
                <w:sz w:val="20"/>
                <w:szCs w:val="20"/>
                <w:color w:val="auto"/>
              </w:rPr>
            </w:pPr>
            <w:r>
              <w:rPr>
                <w:rFonts w:ascii="Arial" w:cs="Arial" w:eastAsia="Arial" w:hAnsi="Arial"/>
                <w:sz w:val="11"/>
                <w:szCs w:val="11"/>
                <w:color w:val="auto"/>
              </w:rPr>
              <w:t>State and municipal</w:t>
            </w:r>
          </w:p>
        </w:tc>
        <w:tc>
          <w:tcPr>
            <w:tcW w:w="2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96,818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(10,760)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693,124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(182,110)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789,942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(192,870)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U.S. Government-sponsored mortgage-backed securities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107,153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276,098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(79,300)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383,251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(83,370)</w:t>
            </w:r>
          </w:p>
        </w:tc>
        <w:tc>
          <w:tcPr>
            <w:tcW w:w="0" w:type="dxa"/>
            <w:vAlign w:val="bottom"/>
          </w:tcPr>
          <w:p>
            <w:pPr>
              <w:spacing w:after="0"/>
              <w:rPr>
                <w:sz w:val="1"/>
                <w:szCs w:val="1"/>
                <w:color w:val="auto"/>
              </w:rPr>
            </w:pPr>
          </w:p>
        </w:tc>
      </w:tr>
      <w:tr>
        <w:trPr>
          <w:trHeight w:val="142"/>
        </w:trPr>
        <w:tc>
          <w:tcPr>
            <w:tcW w:w="4740" w:type="dxa"/>
            <w:vAlign w:val="bottom"/>
          </w:tcPr>
          <w:p>
            <w:pPr>
              <w:ind w:left="200"/>
              <w:spacing w:after="0"/>
              <w:rPr>
                <w:sz w:val="20"/>
                <w:szCs w:val="20"/>
                <w:color w:val="auto"/>
              </w:rPr>
            </w:pPr>
            <w:r>
              <w:rPr>
                <w:rFonts w:ascii="Arial" w:cs="Arial" w:eastAsia="Arial" w:hAnsi="Arial"/>
                <w:sz w:val="11"/>
                <w:szCs w:val="11"/>
                <w:color w:val="auto"/>
              </w:rPr>
              <w:t>Foreign investment</w:t>
            </w:r>
          </w:p>
        </w:tc>
        <w:tc>
          <w:tcPr>
            <w:tcW w:w="2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1,491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1,491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Corporate obligations</w:t>
            </w: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982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5,319</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6,301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0" w:type="dxa"/>
            <w:vAlign w:val="bottom"/>
          </w:tcPr>
          <w:p>
            <w:pPr>
              <w:spacing w:after="0"/>
              <w:rPr>
                <w:sz w:val="1"/>
                <w:szCs w:val="1"/>
                <w:color w:val="auto"/>
              </w:rPr>
            </w:pPr>
          </w:p>
        </w:tc>
      </w:tr>
      <w:tr>
        <w:trPr>
          <w:trHeight w:val="162"/>
        </w:trPr>
        <w:tc>
          <w:tcPr>
            <w:tcW w:w="4740" w:type="dxa"/>
            <w:vAlign w:val="bottom"/>
          </w:tcPr>
          <w:p>
            <w:pPr>
              <w:ind w:left="340"/>
              <w:spacing w:after="0"/>
              <w:rPr>
                <w:sz w:val="20"/>
                <w:szCs w:val="20"/>
                <w:color w:val="auto"/>
              </w:rPr>
            </w:pPr>
            <w:r>
              <w:rPr>
                <w:rFonts w:ascii="Arial" w:cs="Arial" w:eastAsia="Arial" w:hAnsi="Arial"/>
                <w:sz w:val="11"/>
                <w:szCs w:val="11"/>
                <w:color w:val="auto"/>
              </w:rPr>
              <w:t>Total investment securities available for sale</w:t>
            </w: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206,474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(14,857)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1,041,707</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(275,895)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1,248,181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(290,752)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4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1"/>
                <w:szCs w:val="11"/>
                <w:b w:val="1"/>
                <w:bCs w:val="1"/>
                <w:color w:val="auto"/>
              </w:rPr>
              <w:t>Less than 12 Months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1"/>
                <w:szCs w:val="11"/>
                <w:b w:val="1"/>
                <w:bCs w:val="1"/>
                <w:color w:val="auto"/>
              </w:rPr>
              <w:t>12 Months or Longer</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rPr>
              <w:t>Total</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94"/>
              </w:rPr>
              <w:t>Gross</w:t>
            </w:r>
          </w:p>
        </w:tc>
        <w:tc>
          <w:tcPr>
            <w:tcW w:w="200" w:type="dxa"/>
            <w:vAlign w:val="bottom"/>
          </w:tcPr>
          <w:p>
            <w:pPr>
              <w:spacing w:after="0"/>
              <w:rPr>
                <w:sz w:val="9"/>
                <w:szCs w:val="9"/>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9"/>
                <w:szCs w:val="9"/>
                <w:color w:val="auto"/>
              </w:rPr>
            </w:pPr>
          </w:p>
        </w:tc>
        <w:tc>
          <w:tcPr>
            <w:tcW w:w="94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9"/>
                <w:szCs w:val="9"/>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9"/>
                <w:szCs w:val="9"/>
                <w:color w:val="auto"/>
              </w:rPr>
            </w:pPr>
          </w:p>
        </w:tc>
        <w:tc>
          <w:tcPr>
            <w:tcW w:w="840" w:type="dxa"/>
            <w:vAlign w:val="bottom"/>
          </w:tcPr>
          <w:p>
            <w:pPr>
              <w:jc w:val="center"/>
              <w:ind w:right="86"/>
              <w:spacing w:after="0" w:line="109" w:lineRule="exact"/>
              <w:rPr>
                <w:sz w:val="20"/>
                <w:szCs w:val="20"/>
                <w:color w:val="auto"/>
              </w:rPr>
            </w:pPr>
            <w:r>
              <w:rPr>
                <w:rFonts w:ascii="Arial" w:cs="Arial" w:eastAsia="Arial" w:hAnsi="Arial"/>
                <w:sz w:val="11"/>
                <w:szCs w:val="11"/>
                <w:b w:val="1"/>
                <w:bCs w:val="1"/>
                <w:color w:val="auto"/>
                <w:w w:val="94"/>
              </w:rPr>
              <w:t>Gross</w:t>
            </w: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6"/>
              </w:rPr>
              <w:t>Unrealized</w:t>
            </w:r>
          </w:p>
        </w:tc>
        <w:tc>
          <w:tcPr>
            <w:tcW w:w="2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rPr>
              <w:t>Unrealized</w:t>
            </w:r>
          </w:p>
        </w:tc>
        <w:tc>
          <w:tcPr>
            <w:tcW w:w="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96"/>
              </w:rPr>
              <w:t>Unrealized</w:t>
            </w: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Value</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Losses</w:t>
            </w:r>
          </w:p>
        </w:tc>
        <w:tc>
          <w:tcPr>
            <w:tcW w:w="20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Value</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Losses</w:t>
            </w:r>
          </w:p>
        </w:tc>
        <w:tc>
          <w:tcPr>
            <w:tcW w:w="2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Value</w:t>
            </w:r>
          </w:p>
        </w:tc>
        <w:tc>
          <w:tcPr>
            <w:tcW w:w="140" w:type="dxa"/>
            <w:vAlign w:val="bottom"/>
          </w:tcPr>
          <w:p>
            <w:pPr>
              <w:spacing w:after="0"/>
              <w:rPr>
                <w:sz w:val="13"/>
                <w:szCs w:val="13"/>
                <w:color w:val="auto"/>
              </w:rPr>
            </w:pPr>
          </w:p>
        </w:tc>
        <w:tc>
          <w:tcPr>
            <w:tcW w:w="840" w:type="dxa"/>
            <w:vAlign w:val="bottom"/>
          </w:tcPr>
          <w:p>
            <w:pPr>
              <w:jc w:val="center"/>
              <w:ind w:right="86"/>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20"/>
                <w:szCs w:val="20"/>
                <w:color w:val="auto"/>
              </w:rPr>
            </w:pPr>
            <w:r>
              <w:rPr>
                <w:rFonts w:ascii="Arial" w:cs="Arial" w:eastAsia="Arial" w:hAnsi="Arial"/>
                <w:sz w:val="11"/>
                <w:szCs w:val="11"/>
                <w:b w:val="1"/>
                <w:bCs w:val="1"/>
                <w:color w:val="auto"/>
              </w:rPr>
              <w:t>Investment securities available for sale at December 31, 2025</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U.S. Government-sponsored agency securities</w:t>
            </w:r>
          </w:p>
        </w:tc>
        <w:tc>
          <w:tcPr>
            <w:tcW w:w="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76,099</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(11,837)</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76,099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(11,837)</w:t>
            </w:r>
          </w:p>
        </w:tc>
        <w:tc>
          <w:tcPr>
            <w:tcW w:w="0" w:type="dxa"/>
            <w:vAlign w:val="bottom"/>
          </w:tcPr>
          <w:p>
            <w:pPr>
              <w:spacing w:after="0"/>
              <w:rPr>
                <w:sz w:val="1"/>
                <w:szCs w:val="1"/>
                <w:color w:val="auto"/>
              </w:rPr>
            </w:pPr>
          </w:p>
        </w:tc>
      </w:tr>
      <w:tr>
        <w:trPr>
          <w:trHeight w:val="142"/>
        </w:trPr>
        <w:tc>
          <w:tcPr>
            <w:tcW w:w="4740" w:type="dxa"/>
            <w:vAlign w:val="bottom"/>
          </w:tcPr>
          <w:p>
            <w:pPr>
              <w:ind w:left="200"/>
              <w:spacing w:after="0"/>
              <w:rPr>
                <w:sz w:val="20"/>
                <w:szCs w:val="20"/>
                <w:color w:val="auto"/>
              </w:rPr>
            </w:pPr>
            <w:r>
              <w:rPr>
                <w:rFonts w:ascii="Arial" w:cs="Arial" w:eastAsia="Arial" w:hAnsi="Arial"/>
                <w:sz w:val="11"/>
                <w:szCs w:val="11"/>
                <w:color w:val="auto"/>
              </w:rPr>
              <w:t>State and municipal</w:t>
            </w:r>
          </w:p>
        </w:tc>
        <w:tc>
          <w:tcPr>
            <w:tcW w:w="2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5,468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861,410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(91,830)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866,878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(91,841)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U.S. Government-sponsored mortgage-backed securities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313,353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318,238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(64,793)</w:t>
            </w:r>
          </w:p>
        </w:tc>
        <w:tc>
          <w:tcPr>
            <w:tcW w:w="0" w:type="dxa"/>
            <w:vAlign w:val="bottom"/>
          </w:tcPr>
          <w:p>
            <w:pPr>
              <w:spacing w:after="0"/>
              <w:rPr>
                <w:sz w:val="1"/>
                <w:szCs w:val="1"/>
                <w:color w:val="auto"/>
              </w:rPr>
            </w:pPr>
          </w:p>
        </w:tc>
      </w:tr>
      <w:tr>
        <w:trPr>
          <w:trHeight w:val="156"/>
        </w:trPr>
        <w:tc>
          <w:tcPr>
            <w:tcW w:w="4740" w:type="dxa"/>
            <w:vAlign w:val="bottom"/>
          </w:tcPr>
          <w:p>
            <w:pPr>
              <w:ind w:left="200"/>
              <w:spacing w:after="0"/>
              <w:rPr>
                <w:sz w:val="20"/>
                <w:szCs w:val="20"/>
                <w:color w:val="auto"/>
              </w:rPr>
            </w:pPr>
            <w:r>
              <w:rPr>
                <w:rFonts w:ascii="Arial" w:cs="Arial" w:eastAsia="Arial" w:hAnsi="Arial"/>
                <w:sz w:val="11"/>
                <w:szCs w:val="11"/>
                <w:color w:val="auto"/>
              </w:rPr>
              <w:t>Corporate obligations</w:t>
            </w:r>
          </w:p>
        </w:tc>
        <w:tc>
          <w:tcPr>
            <w:tcW w:w="2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6,676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(276)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6,676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187"/>
        </w:trPr>
        <w:tc>
          <w:tcPr>
            <w:tcW w:w="4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Total investment securities available for sale</w:t>
            </w:r>
          </w:p>
        </w:tc>
        <w:tc>
          <w:tcPr>
            <w:tcW w:w="2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10,353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1,257,538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(168,726)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1,267,891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(168,747)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760"/>
        <w:spacing w:after="0" w:line="305" w:lineRule="auto"/>
        <w:rPr>
          <w:sz w:val="20"/>
          <w:szCs w:val="20"/>
          <w:color w:val="auto"/>
        </w:rPr>
      </w:pPr>
      <w:r>
        <w:rPr>
          <w:rFonts w:ascii="Arial" w:cs="Arial" w:eastAsia="Arial" w:hAnsi="Arial"/>
          <w:sz w:val="14"/>
          <w:szCs w:val="14"/>
          <w:color w:val="auto"/>
        </w:rPr>
        <w:t>The following tables summarize investment securities available for sale in an unrealized loss position for which an allowance for credit losses has not been recorded, aggregated by security type and the number of securities in the portfolio as of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Gross</w:t>
            </w: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tcPr>
          <w:p>
            <w:pPr>
              <w:jc w:val="center"/>
              <w:ind w:right="340"/>
              <w:spacing w:after="0" w:line="108" w:lineRule="exact"/>
              <w:rPr>
                <w:sz w:val="20"/>
                <w:szCs w:val="20"/>
                <w:color w:val="auto"/>
              </w:rPr>
            </w:pPr>
            <w:r>
              <w:rPr>
                <w:rFonts w:ascii="Arial" w:cs="Arial" w:eastAsia="Arial" w:hAnsi="Arial"/>
                <w:sz w:val="11"/>
                <w:szCs w:val="11"/>
                <w:b w:val="1"/>
                <w:bCs w:val="1"/>
                <w:color w:val="auto"/>
                <w:w w:val="96"/>
              </w:rPr>
              <w:t>Unrealized</w:t>
            </w:r>
          </w:p>
        </w:tc>
        <w:tc>
          <w:tcPr>
            <w:tcW w:w="13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Number of Securities</w:t>
            </w: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Losses</w:t>
            </w: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Investment securities available for sale at September 30, 2026</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U.S. Government-sponsored agency securities</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(14,347)</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State and municipal</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(192,870)</w:t>
            </w: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617</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U.S. Government-sponsored mortgage-backed securities</w:t>
            </w:r>
          </w:p>
        </w:tc>
        <w:tc>
          <w:tcPr>
            <w:tcW w:w="2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(83,370)</w:t>
            </w:r>
          </w:p>
        </w:tc>
        <w:tc>
          <w:tcPr>
            <w:tcW w:w="1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Foreign investment</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Corporate obligations</w:t>
            </w:r>
          </w:p>
        </w:tc>
        <w:tc>
          <w:tcPr>
            <w:tcW w:w="2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12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8480" w:type="dxa"/>
            <w:vAlign w:val="bottom"/>
          </w:tcPr>
          <w:p>
            <w:pPr>
              <w:ind w:left="360"/>
              <w:spacing w:after="0"/>
              <w:rPr>
                <w:sz w:val="20"/>
                <w:szCs w:val="20"/>
                <w:color w:val="auto"/>
              </w:rPr>
            </w:pPr>
            <w:r>
              <w:rPr>
                <w:rFonts w:ascii="Arial" w:cs="Arial" w:eastAsia="Arial" w:hAnsi="Arial"/>
                <w:sz w:val="11"/>
                <w:szCs w:val="11"/>
                <w:color w:val="auto"/>
              </w:rPr>
              <w:t>Total investment securities available for sale</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(290,752)</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Gross</w:t>
            </w: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2"/>
          </w:tcPr>
          <w:p>
            <w:pPr>
              <w:jc w:val="center"/>
              <w:ind w:right="340"/>
              <w:spacing w:after="0" w:line="108" w:lineRule="exact"/>
              <w:rPr>
                <w:sz w:val="20"/>
                <w:szCs w:val="20"/>
                <w:color w:val="auto"/>
              </w:rPr>
            </w:pPr>
            <w:r>
              <w:rPr>
                <w:rFonts w:ascii="Arial" w:cs="Arial" w:eastAsia="Arial" w:hAnsi="Arial"/>
                <w:sz w:val="11"/>
                <w:szCs w:val="11"/>
                <w:b w:val="1"/>
                <w:bCs w:val="1"/>
                <w:color w:val="auto"/>
                <w:w w:val="96"/>
              </w:rPr>
              <w:t>Unrealized</w:t>
            </w:r>
          </w:p>
        </w:tc>
        <w:tc>
          <w:tcPr>
            <w:tcW w:w="13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Number of Securities</w:t>
            </w:r>
          </w:p>
        </w:tc>
        <w:tc>
          <w:tcPr>
            <w:tcW w:w="0" w:type="dxa"/>
            <w:vAlign w:val="bottom"/>
          </w:tcPr>
          <w:p>
            <w:pPr>
              <w:spacing w:after="0"/>
              <w:rPr>
                <w:sz w:val="1"/>
                <w:szCs w:val="1"/>
                <w:color w:val="auto"/>
              </w:rPr>
            </w:pPr>
          </w:p>
        </w:tc>
      </w:tr>
      <w:tr>
        <w:trPr>
          <w:trHeight w:val="155"/>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Losses</w:t>
            </w: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80" w:type="dxa"/>
            <w:vAlign w:val="bottom"/>
          </w:tcPr>
          <w:p>
            <w:pPr>
              <w:ind w:left="20"/>
              <w:spacing w:after="0"/>
              <w:rPr>
                <w:sz w:val="20"/>
                <w:szCs w:val="20"/>
                <w:color w:val="auto"/>
              </w:rPr>
            </w:pPr>
            <w:r>
              <w:rPr>
                <w:rFonts w:ascii="Arial" w:cs="Arial" w:eastAsia="Arial" w:hAnsi="Arial"/>
                <w:sz w:val="11"/>
                <w:szCs w:val="11"/>
                <w:b w:val="1"/>
                <w:bCs w:val="1"/>
                <w:color w:val="auto"/>
              </w:rPr>
              <w:t>Investment securities available for sale at December 31, 2025</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U.S. Government-sponsored agency securities</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(11,837)</w:t>
            </w:r>
          </w:p>
        </w:tc>
        <w:tc>
          <w:tcPr>
            <w:tcW w:w="1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2"/>
        </w:trPr>
        <w:tc>
          <w:tcPr>
            <w:tcW w:w="8480" w:type="dxa"/>
            <w:vAlign w:val="bottom"/>
          </w:tcPr>
          <w:p>
            <w:pPr>
              <w:ind w:left="240"/>
              <w:spacing w:after="0"/>
              <w:rPr>
                <w:sz w:val="20"/>
                <w:szCs w:val="20"/>
                <w:color w:val="auto"/>
              </w:rPr>
            </w:pPr>
            <w:r>
              <w:rPr>
                <w:rFonts w:ascii="Arial" w:cs="Arial" w:eastAsia="Arial" w:hAnsi="Arial"/>
                <w:sz w:val="11"/>
                <w:szCs w:val="11"/>
                <w:color w:val="auto"/>
              </w:rPr>
              <w:t>State and municipal</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(91,841)</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587</w:t>
            </w:r>
          </w:p>
        </w:tc>
        <w:tc>
          <w:tcPr>
            <w:tcW w:w="0" w:type="dxa"/>
            <w:vAlign w:val="bottom"/>
          </w:tcPr>
          <w:p>
            <w:pPr>
              <w:spacing w:after="0"/>
              <w:rPr>
                <w:sz w:val="1"/>
                <w:szCs w:val="1"/>
                <w:color w:val="auto"/>
              </w:rPr>
            </w:pPr>
          </w:p>
        </w:tc>
      </w:tr>
      <w:tr>
        <w:trPr>
          <w:trHeight w:val="172"/>
        </w:trPr>
        <w:tc>
          <w:tcPr>
            <w:tcW w:w="84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U.S. Government-sponsored mortgage-backed securities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(64,793)</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55"/>
        </w:trPr>
        <w:tc>
          <w:tcPr>
            <w:tcW w:w="848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Corporate obligations</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87"/>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investment securities available for sale</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(168,747)</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The unrealized losses in the Corporation’s investment portfolio were the result of changes in interest rates and not credit quality. As a result, the Corporation expects to recover the amortized cost basis over the term of the securities. The Corporation does not intend to sell the investments and it is not more likely than not that the Corporation will be required to sell the investments before recovery of their amortized cost basis, which may be at maturity.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Certain investment securities available for sale are reported in the financial statements at an amount less than their historical cost as indicated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 2026</w:t>
            </w:r>
          </w:p>
        </w:tc>
        <w:tc>
          <w:tcPr>
            <w:tcW w:w="200" w:type="dxa"/>
            <w:vAlign w:val="bottom"/>
          </w:tcPr>
          <w:p>
            <w:pPr>
              <w:spacing w:after="0"/>
              <w:rPr>
                <w:sz w:val="13"/>
                <w:szCs w:val="13"/>
                <w:color w:val="auto"/>
              </w:rPr>
            </w:pPr>
          </w:p>
        </w:tc>
        <w:tc>
          <w:tcPr>
            <w:tcW w:w="1400" w:type="dxa"/>
            <w:vAlign w:val="bottom"/>
          </w:tcPr>
          <w:p>
            <w:pPr>
              <w:jc w:val="right"/>
              <w:ind w:right="266"/>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29"/>
        </w:trPr>
        <w:tc>
          <w:tcPr>
            <w:tcW w:w="7920" w:type="dxa"/>
            <w:vAlign w:val="bottom"/>
          </w:tcPr>
          <w:p>
            <w:pPr>
              <w:ind w:left="20"/>
              <w:spacing w:after="0"/>
              <w:rPr>
                <w:sz w:val="20"/>
                <w:szCs w:val="20"/>
                <w:color w:val="auto"/>
              </w:rPr>
            </w:pPr>
            <w:r>
              <w:rPr>
                <w:rFonts w:ascii="Arial" w:cs="Arial" w:eastAsia="Arial" w:hAnsi="Arial"/>
                <w:sz w:val="11"/>
                <w:szCs w:val="11"/>
                <w:color w:val="auto"/>
              </w:rPr>
              <w:t>Investment securities available for sale reported at less than historical cost:</w:t>
            </w: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Historical cost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1,538,933</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1,436,638</w:t>
            </w:r>
          </w:p>
        </w:tc>
        <w:tc>
          <w:tcPr>
            <w:tcW w:w="0" w:type="dxa"/>
            <w:vAlign w:val="bottom"/>
          </w:tcPr>
          <w:p>
            <w:pPr>
              <w:spacing w:after="0"/>
              <w:rPr>
                <w:sz w:val="1"/>
                <w:szCs w:val="1"/>
                <w:color w:val="auto"/>
              </w:rPr>
            </w:pPr>
          </w:p>
        </w:tc>
      </w:tr>
      <w:tr>
        <w:trPr>
          <w:trHeight w:val="155"/>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Fair value</w:t>
            </w: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1,248,181</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1,267,891</w:t>
            </w:r>
          </w:p>
        </w:tc>
        <w:tc>
          <w:tcPr>
            <w:tcW w:w="0" w:type="dxa"/>
            <w:vAlign w:val="bottom"/>
          </w:tcPr>
          <w:p>
            <w:pPr>
              <w:spacing w:after="0"/>
              <w:rPr>
                <w:sz w:val="1"/>
                <w:szCs w:val="1"/>
                <w:color w:val="auto"/>
              </w:rPr>
            </w:pPr>
          </w:p>
        </w:tc>
      </w:tr>
      <w:tr>
        <w:trPr>
          <w:trHeight w:val="187"/>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Gross unrealized losses</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(290,752)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(168,747)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Percentage of the Corporation's investment securities available for sale in an unrealized loss position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jc w:val="right"/>
              <w:spacing w:after="0" w:line="116" w:lineRule="exact"/>
              <w:rPr>
                <w:sz w:val="20"/>
                <w:szCs w:val="20"/>
                <w:color w:val="auto"/>
              </w:rPr>
            </w:pPr>
            <w:r>
              <w:rPr>
                <w:rFonts w:ascii="Arial" w:cs="Arial" w:eastAsia="Arial" w:hAnsi="Arial"/>
                <w:sz w:val="11"/>
                <w:szCs w:val="11"/>
                <w:color w:val="auto"/>
              </w:rPr>
              <w:t>99.7 %</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spacing w:after="0" w:line="116" w:lineRule="exact"/>
              <w:rPr>
                <w:sz w:val="20"/>
                <w:szCs w:val="20"/>
                <w:color w:val="auto"/>
              </w:rPr>
            </w:pPr>
            <w:r>
              <w:rPr>
                <w:rFonts w:ascii="Arial" w:cs="Arial" w:eastAsia="Arial" w:hAnsi="Arial"/>
                <w:sz w:val="11"/>
                <w:szCs w:val="11"/>
                <w:color w:val="auto"/>
              </w:rPr>
              <w:t>90.1 %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280"/>
        <w:spacing w:after="0" w:line="283" w:lineRule="auto"/>
        <w:rPr>
          <w:sz w:val="20"/>
          <w:szCs w:val="20"/>
          <w:color w:val="auto"/>
        </w:rPr>
      </w:pPr>
      <w:r>
        <w:rPr>
          <w:rFonts w:ascii="Arial" w:cs="Arial" w:eastAsia="Arial" w:hAnsi="Arial"/>
          <w:sz w:val="14"/>
          <w:szCs w:val="14"/>
          <w:color w:val="auto"/>
        </w:rPr>
        <w:t>The amortized cost and fair value of investment securities available for sale and held to maturity at September 30, 2026 and December 31, 2025, by contractual maturity are shown below. Expected maturities will differ from contractual maturities because issuers may have the right to call or prepay obligations with or without call or prepayment penalties. Securities not due at a single maturity are shown separately.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5"/>
          </w:tcPr>
          <w:p>
            <w:pPr>
              <w:ind w:left="680"/>
              <w:spacing w:after="0"/>
              <w:rPr>
                <w:sz w:val="20"/>
                <w:szCs w:val="20"/>
                <w:color w:val="auto"/>
              </w:rPr>
            </w:pPr>
            <w:r>
              <w:rPr>
                <w:rFonts w:ascii="Arial" w:cs="Arial" w:eastAsia="Arial" w:hAnsi="Arial"/>
                <w:sz w:val="11"/>
                <w:szCs w:val="11"/>
                <w:b w:val="1"/>
                <w:bCs w:val="1"/>
                <w:color w:val="auto"/>
              </w:rPr>
              <w:t>Available for Sale</w:t>
            </w:r>
          </w:p>
        </w:tc>
        <w:tc>
          <w:tcPr>
            <w:tcW w:w="140" w:type="dxa"/>
            <w:vAlign w:val="bottom"/>
          </w:tcPr>
          <w:p>
            <w:pPr>
              <w:spacing w:after="0"/>
              <w:rPr>
                <w:sz w:val="12"/>
                <w:szCs w:val="12"/>
                <w:color w:val="auto"/>
              </w:rPr>
            </w:pPr>
          </w:p>
        </w:tc>
        <w:tc>
          <w:tcPr>
            <w:tcW w:w="2380" w:type="dxa"/>
            <w:vAlign w:val="bottom"/>
            <w:gridSpan w:val="4"/>
          </w:tcPr>
          <w:p>
            <w:pPr>
              <w:jc w:val="right"/>
              <w:ind w:right="786"/>
              <w:spacing w:after="0"/>
              <w:rPr>
                <w:sz w:val="20"/>
                <w:szCs w:val="20"/>
                <w:color w:val="auto"/>
              </w:rPr>
            </w:pPr>
            <w:r>
              <w:rPr>
                <w:rFonts w:ascii="Arial" w:cs="Arial" w:eastAsia="Arial" w:hAnsi="Arial"/>
                <w:sz w:val="11"/>
                <w:szCs w:val="11"/>
                <w:b w:val="1"/>
                <w:bCs w:val="1"/>
                <w:color w:val="auto"/>
              </w:rPr>
              <w:t>Held to Maturity</w:t>
            </w:r>
          </w:p>
        </w:tc>
      </w:tr>
      <w:tr>
        <w:trPr>
          <w:trHeight w:val="169"/>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Amortized Cost</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Amortized Cost</w:t>
            </w:r>
          </w:p>
        </w:tc>
        <w:tc>
          <w:tcPr>
            <w:tcW w:w="2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Arial" w:cs="Arial" w:eastAsia="Arial" w:hAnsi="Arial"/>
                <w:sz w:val="11"/>
                <w:szCs w:val="11"/>
                <w:b w:val="1"/>
                <w:bCs w:val="1"/>
                <w:color w:val="auto"/>
              </w:rPr>
              <w:t>Fair Value</w:t>
            </w:r>
          </w:p>
        </w:tc>
      </w:tr>
      <w:tr>
        <w:trPr>
          <w:trHeight w:val="142"/>
        </w:trPr>
        <w:tc>
          <w:tcPr>
            <w:tcW w:w="6100" w:type="dxa"/>
            <w:vAlign w:val="bottom"/>
          </w:tcPr>
          <w:p>
            <w:pPr>
              <w:ind w:left="20"/>
              <w:spacing w:after="0"/>
              <w:rPr>
                <w:sz w:val="20"/>
                <w:szCs w:val="20"/>
                <w:color w:val="auto"/>
              </w:rPr>
            </w:pPr>
            <w:r>
              <w:rPr>
                <w:rFonts w:ascii="Arial" w:cs="Arial" w:eastAsia="Arial" w:hAnsi="Arial"/>
                <w:sz w:val="11"/>
                <w:szCs w:val="11"/>
                <w:b w:val="1"/>
                <w:bCs w:val="1"/>
                <w:color w:val="auto"/>
              </w:rPr>
              <w:t>Maturity Distribution at September 30, 2026</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169"/>
        </w:trPr>
        <w:tc>
          <w:tcPr>
            <w:tcW w:w="61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Due in one year or less</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35,613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34,981</w:t>
            </w:r>
          </w:p>
        </w:tc>
      </w:tr>
      <w:tr>
        <w:trPr>
          <w:trHeight w:val="142"/>
        </w:trPr>
        <w:tc>
          <w:tcPr>
            <w:tcW w:w="6100" w:type="dxa"/>
            <w:vAlign w:val="bottom"/>
          </w:tcPr>
          <w:p>
            <w:pPr>
              <w:ind w:left="140"/>
              <w:spacing w:after="0"/>
              <w:rPr>
                <w:sz w:val="20"/>
                <w:szCs w:val="20"/>
                <w:color w:val="auto"/>
              </w:rPr>
            </w:pPr>
            <w:r>
              <w:rPr>
                <w:rFonts w:ascii="Arial" w:cs="Arial" w:eastAsia="Arial" w:hAnsi="Arial"/>
                <w:sz w:val="11"/>
                <w:szCs w:val="11"/>
                <w:color w:val="auto"/>
              </w:rPr>
              <w:t>Due after one through five years</w:t>
            </w:r>
          </w:p>
        </w:tc>
        <w:tc>
          <w:tcPr>
            <w:tcW w:w="1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23,922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22,675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120,348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112,583</w:t>
            </w:r>
          </w:p>
        </w:tc>
      </w:tr>
      <w:tr>
        <w:trPr>
          <w:trHeight w:val="20"/>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2"/>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Due after five through ten years</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329,137</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277,575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265,174</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216,934</w:t>
            </w:r>
          </w:p>
        </w:tc>
      </w:tr>
      <w:tr>
        <w:trPr>
          <w:trHeight w:val="156"/>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Due after ten years</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719,065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564,510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931,254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697,833</w:t>
            </w:r>
          </w:p>
        </w:tc>
      </w:tr>
      <w:tr>
        <w:trPr>
          <w:trHeight w:val="142"/>
        </w:trPr>
        <w:tc>
          <w:tcPr>
            <w:tcW w:w="6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1,072,872</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865,501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1,352,389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1,062,331</w:t>
            </w:r>
          </w:p>
        </w:tc>
      </w:tr>
      <w:tr>
        <w:trPr>
          <w:trHeight w:val="156"/>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U.S. Government-sponsored mortgage-backed securities</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469,402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386,039</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520,807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433,146</w:t>
            </w:r>
          </w:p>
        </w:tc>
      </w:tr>
      <w:tr>
        <w:trPr>
          <w:trHeight w:val="187"/>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investment securities</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1,542,274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1,251,540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1,873,196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1,495,477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5"/>
          </w:tcPr>
          <w:p>
            <w:pPr>
              <w:ind w:left="680"/>
              <w:spacing w:after="0"/>
              <w:rPr>
                <w:sz w:val="20"/>
                <w:szCs w:val="20"/>
                <w:color w:val="auto"/>
              </w:rPr>
            </w:pPr>
            <w:r>
              <w:rPr>
                <w:rFonts w:ascii="Arial" w:cs="Arial" w:eastAsia="Arial" w:hAnsi="Arial"/>
                <w:sz w:val="11"/>
                <w:szCs w:val="11"/>
                <w:b w:val="1"/>
                <w:bCs w:val="1"/>
                <w:color w:val="auto"/>
              </w:rPr>
              <w:t>Available for Sale</w:t>
            </w:r>
          </w:p>
        </w:tc>
        <w:tc>
          <w:tcPr>
            <w:tcW w:w="140" w:type="dxa"/>
            <w:vAlign w:val="bottom"/>
          </w:tcPr>
          <w:p>
            <w:pPr>
              <w:spacing w:after="0"/>
              <w:rPr>
                <w:sz w:val="12"/>
                <w:szCs w:val="12"/>
                <w:color w:val="auto"/>
              </w:rPr>
            </w:pPr>
          </w:p>
        </w:tc>
        <w:tc>
          <w:tcPr>
            <w:tcW w:w="2380" w:type="dxa"/>
            <w:vAlign w:val="bottom"/>
            <w:gridSpan w:val="4"/>
          </w:tcPr>
          <w:p>
            <w:pPr>
              <w:jc w:val="right"/>
              <w:ind w:right="786"/>
              <w:spacing w:after="0"/>
              <w:rPr>
                <w:sz w:val="20"/>
                <w:szCs w:val="20"/>
                <w:color w:val="auto"/>
              </w:rPr>
            </w:pPr>
            <w:r>
              <w:rPr>
                <w:rFonts w:ascii="Arial" w:cs="Arial" w:eastAsia="Arial" w:hAnsi="Arial"/>
                <w:sz w:val="11"/>
                <w:szCs w:val="11"/>
                <w:b w:val="1"/>
                <w:bCs w:val="1"/>
                <w:color w:val="auto"/>
              </w:rPr>
              <w:t>Held to Maturity</w:t>
            </w:r>
          </w:p>
        </w:tc>
      </w:tr>
      <w:tr>
        <w:trPr>
          <w:trHeight w:val="169"/>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Amortized Cost</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Amortized Cost</w:t>
            </w:r>
          </w:p>
        </w:tc>
        <w:tc>
          <w:tcPr>
            <w:tcW w:w="2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Arial" w:cs="Arial" w:eastAsia="Arial" w:hAnsi="Arial"/>
                <w:sz w:val="11"/>
                <w:szCs w:val="11"/>
                <w:b w:val="1"/>
                <w:bCs w:val="1"/>
                <w:color w:val="auto"/>
              </w:rPr>
              <w:t>Fair Value</w:t>
            </w:r>
          </w:p>
        </w:tc>
      </w:tr>
      <w:tr>
        <w:trPr>
          <w:trHeight w:val="142"/>
        </w:trPr>
        <w:tc>
          <w:tcPr>
            <w:tcW w:w="6100" w:type="dxa"/>
            <w:vAlign w:val="bottom"/>
          </w:tcPr>
          <w:p>
            <w:pPr>
              <w:ind w:left="20"/>
              <w:spacing w:after="0"/>
              <w:rPr>
                <w:sz w:val="20"/>
                <w:szCs w:val="20"/>
                <w:color w:val="auto"/>
              </w:rPr>
            </w:pPr>
            <w:r>
              <w:rPr>
                <w:rFonts w:ascii="Arial" w:cs="Arial" w:eastAsia="Arial" w:hAnsi="Arial"/>
                <w:sz w:val="11"/>
                <w:szCs w:val="11"/>
                <w:b w:val="1"/>
                <w:bCs w:val="1"/>
                <w:color w:val="auto"/>
              </w:rPr>
              <w:t>Maturity Distribution at December 31, 2025</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149"/>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Due in one year or less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7,014</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7,024</w:t>
            </w:r>
          </w:p>
        </w:tc>
      </w:tr>
      <w:tr>
        <w:trPr>
          <w:trHeight w:val="142"/>
        </w:trPr>
        <w:tc>
          <w:tcPr>
            <w:tcW w:w="6100" w:type="dxa"/>
            <w:vAlign w:val="bottom"/>
          </w:tcPr>
          <w:p>
            <w:pPr>
              <w:ind w:left="140"/>
              <w:spacing w:after="0"/>
              <w:rPr>
                <w:sz w:val="20"/>
                <w:szCs w:val="20"/>
                <w:color w:val="auto"/>
              </w:rPr>
            </w:pPr>
            <w:r>
              <w:rPr>
                <w:rFonts w:ascii="Arial" w:cs="Arial" w:eastAsia="Arial" w:hAnsi="Arial"/>
                <w:sz w:val="11"/>
                <w:szCs w:val="11"/>
                <w:color w:val="auto"/>
              </w:rPr>
              <w:t>Due after one through five years</w:t>
            </w:r>
          </w:p>
        </w:tc>
        <w:tc>
          <w:tcPr>
            <w:tcW w:w="1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16,877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16,577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118,912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115,973</w:t>
            </w:r>
          </w:p>
        </w:tc>
      </w:tr>
      <w:tr>
        <w:trPr>
          <w:trHeight w:val="20"/>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2"/>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Due after five through ten years</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241,803</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227,493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228,224</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210,125</w:t>
            </w:r>
          </w:p>
        </w:tc>
      </w:tr>
      <w:tr>
        <w:trPr>
          <w:trHeight w:val="155"/>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Due after ten years</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832,641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743,522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1,040,146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877,643</w:t>
            </w:r>
          </w:p>
        </w:tc>
      </w:tr>
      <w:tr>
        <w:trPr>
          <w:trHeight w:val="142"/>
        </w:trPr>
        <w:tc>
          <w:tcPr>
            <w:tcW w:w="6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1,091,321</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987,592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1,394,296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1,210,765</w:t>
            </w:r>
          </w:p>
        </w:tc>
      </w:tr>
      <w:tr>
        <w:trPr>
          <w:trHeight w:val="155"/>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U.S. Government-sponsored mortgage-backed securities</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482,702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419,510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577,488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507,522</w:t>
            </w:r>
          </w:p>
        </w:tc>
      </w:tr>
      <w:tr>
        <w:trPr>
          <w:trHeight w:val="187"/>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investment securities</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1,574,023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1,407,102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1,971,784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1,718,287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Securities with a carrying value of approximately $3.1 billion and $3.3 billion were pledged at September 30, 2026 and December 31, 2025, respectively, primarily to secure borrowing capacity at the Federal Reserve Discount Window, as well as certain deposits, securities sold under agreements to repurchase, and for other purposes as permitted or required by law.</w:t>
      </w:r>
    </w:p>
    <w:p>
      <w:pPr>
        <w:spacing w:after="0" w:line="200"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color w:val="auto"/>
        </w:rPr>
        <w:t>The book value of securities pledged and available under agreements to repurchase amounted to $122.5 million at September 30, 2026 and $119.8 million at December 31, 2025.</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There were no sales of investment securities available for sale during the three and nine months ended September 30, 2026 and during the three months ended September 30, 2025. Gross gains and losses on the sales of investment securities available for sale for the nine months ended September 30, 2025 is shown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tcPr>
          <w:p>
            <w:pPr>
              <w:jc w:val="center"/>
              <w:ind w:right="166"/>
              <w:spacing w:after="0"/>
              <w:rPr>
                <w:sz w:val="20"/>
                <w:szCs w:val="20"/>
                <w:color w:val="auto"/>
              </w:rPr>
            </w:pPr>
            <w:r>
              <w:rPr>
                <w:rFonts w:ascii="Arial" w:cs="Arial" w:eastAsia="Arial" w:hAnsi="Arial"/>
                <w:sz w:val="11"/>
                <w:szCs w:val="11"/>
                <w:b w:val="1"/>
                <w:bCs w:val="1"/>
                <w:color w:val="auto"/>
                <w:w w:val="98"/>
              </w:rPr>
              <w:t>Nine Months Ended September 30,</w:t>
            </w:r>
          </w:p>
        </w:tc>
      </w:tr>
      <w:tr>
        <w:trPr>
          <w:trHeight w:val="170"/>
        </w:trPr>
        <w:tc>
          <w:tcPr>
            <w:tcW w:w="86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1106"/>
              <w:spacing w:after="0"/>
              <w:rPr>
                <w:sz w:val="20"/>
                <w:szCs w:val="20"/>
                <w:color w:val="auto"/>
              </w:rPr>
            </w:pPr>
            <w:r>
              <w:rPr>
                <w:rFonts w:ascii="Arial" w:cs="Arial" w:eastAsia="Arial" w:hAnsi="Arial"/>
                <w:sz w:val="11"/>
                <w:szCs w:val="11"/>
                <w:b w:val="1"/>
                <w:bCs w:val="1"/>
                <w:color w:val="auto"/>
              </w:rPr>
              <w:t>2025</w:t>
            </w:r>
          </w:p>
        </w:tc>
      </w:tr>
      <w:tr>
        <w:trPr>
          <w:trHeight w:val="129"/>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Sales of investment securities available for sale:</w:t>
            </w:r>
          </w:p>
        </w:tc>
        <w:tc>
          <w:tcPr>
            <w:tcW w:w="240" w:type="dxa"/>
            <w:vAlign w:val="bottom"/>
            <w:tcBorders>
              <w:bottom w:val="single" w:sz="8" w:color="CCEEFF"/>
            </w:tcBorders>
            <w:shd w:val="clear" w:color="auto" w:fill="CCEEFF"/>
          </w:tcPr>
          <w:p>
            <w:pPr>
              <w:spacing w:after="0"/>
              <w:rPr>
                <w:sz w:val="11"/>
                <w:szCs w:val="11"/>
                <w:color w:val="auto"/>
              </w:rPr>
            </w:pPr>
          </w:p>
        </w:tc>
        <w:tc>
          <w:tcPr>
            <w:tcW w:w="2320" w:type="dxa"/>
            <w:vAlign w:val="bottom"/>
            <w:tcBorders>
              <w:bottom w:val="single" w:sz="8" w:color="CCEEFF"/>
            </w:tcBorders>
            <w:shd w:val="clear" w:color="auto" w:fill="CCEEFF"/>
          </w:tcPr>
          <w:p>
            <w:pPr>
              <w:spacing w:after="0"/>
              <w:rPr>
                <w:sz w:val="11"/>
                <w:szCs w:val="11"/>
                <w:color w:val="auto"/>
              </w:rPr>
            </w:pPr>
          </w:p>
        </w:tc>
      </w:tr>
      <w:tr>
        <w:trPr>
          <w:trHeight w:val="152"/>
        </w:trPr>
        <w:tc>
          <w:tcPr>
            <w:tcW w:w="8680" w:type="dxa"/>
            <w:vAlign w:val="bottom"/>
          </w:tcPr>
          <w:p>
            <w:pPr>
              <w:ind w:left="480"/>
              <w:spacing w:after="0"/>
              <w:rPr>
                <w:sz w:val="20"/>
                <w:szCs w:val="20"/>
                <w:color w:val="auto"/>
              </w:rPr>
            </w:pPr>
            <w:r>
              <w:rPr>
                <w:rFonts w:ascii="Arial" w:cs="Arial" w:eastAsia="Arial" w:hAnsi="Arial"/>
                <w:sz w:val="11"/>
                <w:szCs w:val="11"/>
                <w:color w:val="auto"/>
              </w:rPr>
              <w:t>Gross gains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2320" w:type="dxa"/>
            <w:vAlign w:val="bottom"/>
          </w:tcPr>
          <w:p>
            <w:pPr>
              <w:ind w:left="2160"/>
              <w:spacing w:after="0"/>
              <w:rPr>
                <w:sz w:val="20"/>
                <w:szCs w:val="20"/>
                <w:color w:val="auto"/>
              </w:rPr>
            </w:pPr>
            <w:r>
              <w:rPr>
                <w:rFonts w:ascii="Arial" w:cs="Arial" w:eastAsia="Arial" w:hAnsi="Arial"/>
                <w:sz w:val="11"/>
                <w:szCs w:val="11"/>
                <w:color w:val="auto"/>
              </w:rPr>
              <w:t>—</w:t>
            </w:r>
          </w:p>
        </w:tc>
      </w:tr>
      <w:tr>
        <w:trPr>
          <w:trHeight w:val="165"/>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Gross losses</w:t>
            </w:r>
          </w:p>
        </w:tc>
        <w:tc>
          <w:tcPr>
            <w:tcW w:w="24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ind w:left="2160"/>
              <w:spacing w:after="0"/>
              <w:rPr>
                <w:sz w:val="20"/>
                <w:szCs w:val="20"/>
                <w:color w:val="auto"/>
              </w:rPr>
            </w:pPr>
            <w:r>
              <w:rPr>
                <w:rFonts w:ascii="Arial" w:cs="Arial" w:eastAsia="Arial" w:hAnsi="Arial"/>
                <w:sz w:val="11"/>
                <w:szCs w:val="11"/>
                <w:color w:val="auto"/>
              </w:rPr>
              <w:t>(8)</w:t>
            </w:r>
          </w:p>
        </w:tc>
      </w:tr>
      <w:tr>
        <w:trPr>
          <w:trHeight w:val="162"/>
        </w:trPr>
        <w:tc>
          <w:tcPr>
            <w:tcW w:w="8680" w:type="dxa"/>
            <w:vAlign w:val="bottom"/>
          </w:tcPr>
          <w:p>
            <w:pPr>
              <w:ind w:left="140"/>
              <w:spacing w:after="0"/>
              <w:rPr>
                <w:sz w:val="20"/>
                <w:szCs w:val="20"/>
                <w:color w:val="auto"/>
              </w:rPr>
            </w:pPr>
            <w:r>
              <w:rPr>
                <w:rFonts w:ascii="Arial" w:cs="Arial" w:eastAsia="Arial" w:hAnsi="Arial"/>
                <w:sz w:val="11"/>
                <w:szCs w:val="11"/>
                <w:color w:val="auto"/>
              </w:rPr>
              <w:t>Net losses on sales of investment securities available for sale</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2320" w:type="dxa"/>
            <w:vAlign w:val="bottom"/>
            <w:tcBorders>
              <w:bottom w:val="single" w:sz="8" w:color="auto"/>
            </w:tcBorders>
          </w:tcPr>
          <w:p>
            <w:pPr>
              <w:ind w:left="2160"/>
              <w:spacing w:after="0"/>
              <w:rPr>
                <w:sz w:val="20"/>
                <w:szCs w:val="20"/>
                <w:color w:val="auto"/>
              </w:rPr>
            </w:pPr>
            <w:r>
              <w:rPr>
                <w:rFonts w:ascii="Arial" w:cs="Arial" w:eastAsia="Arial" w:hAnsi="Arial"/>
                <w:sz w:val="11"/>
                <w:szCs w:val="11"/>
                <w:color w:val="auto"/>
              </w:rPr>
              <w:t>(8)</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AND ALLOWANCE FOR CREDIT LOSSES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Portfolio and Credit Quality</w:t>
      </w:r>
    </w:p>
    <w:p>
      <w:pPr>
        <w:spacing w:after="0" w:line="258" w:lineRule="exact"/>
        <w:rPr>
          <w:sz w:val="20"/>
          <w:szCs w:val="20"/>
          <w:color w:val="auto"/>
        </w:rPr>
      </w:pPr>
    </w:p>
    <w:p>
      <w:pPr>
        <w:ind w:right="80"/>
        <w:spacing w:after="0" w:line="305" w:lineRule="auto"/>
        <w:rPr>
          <w:sz w:val="20"/>
          <w:szCs w:val="20"/>
          <w:color w:val="auto"/>
        </w:rPr>
      </w:pPr>
      <w:r>
        <w:rPr>
          <w:rFonts w:ascii="Arial" w:cs="Arial" w:eastAsia="Arial" w:hAnsi="Arial"/>
          <w:sz w:val="14"/>
          <w:szCs w:val="14"/>
          <w:color w:val="auto"/>
        </w:rPr>
        <w:t>The Corporation's primary lending focus is small business and middle market commercial, commercial real estate, public finance and residential real estate, which results in portfolio diversification. The following tables show the composition of the loan portfolio and credit quality characteristics by collateral classification, excluding loans held for sale.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illustrates the composition of the Corporation’s loan portfolio by loan class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September 30, 2026</w:t>
            </w:r>
          </w:p>
        </w:tc>
        <w:tc>
          <w:tcPr>
            <w:tcW w:w="160" w:type="dxa"/>
            <w:vAlign w:val="bottom"/>
          </w:tcPr>
          <w:p>
            <w:pPr>
              <w:spacing w:after="0"/>
              <w:rPr>
                <w:sz w:val="13"/>
                <w:szCs w:val="13"/>
                <w:color w:val="auto"/>
              </w:rPr>
            </w:pPr>
          </w:p>
        </w:tc>
        <w:tc>
          <w:tcPr>
            <w:tcW w:w="1280" w:type="dxa"/>
            <w:vAlign w:val="bottom"/>
          </w:tcPr>
          <w:p>
            <w:pPr>
              <w:jc w:val="right"/>
              <w:ind w:right="166"/>
              <w:spacing w:after="0"/>
              <w:rPr>
                <w:sz w:val="20"/>
                <w:szCs w:val="20"/>
                <w:color w:val="auto"/>
              </w:rPr>
            </w:pPr>
            <w:r>
              <w:rPr>
                <w:rFonts w:ascii="Arial" w:cs="Arial" w:eastAsia="Arial" w:hAnsi="Arial"/>
                <w:sz w:val="11"/>
                <w:szCs w:val="11"/>
                <w:b w:val="1"/>
                <w:bCs w:val="1"/>
                <w:color w:val="auto"/>
              </w:rPr>
              <w:t>December 31, 2025</w:t>
            </w:r>
          </w:p>
        </w:tc>
      </w:tr>
      <w:tr>
        <w:trPr>
          <w:trHeight w:val="142"/>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4,578,572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4,478,282</w:t>
            </w:r>
          </w:p>
        </w:tc>
      </w:tr>
      <w:tr>
        <w:trPr>
          <w:trHeight w:val="142"/>
        </w:trPr>
        <w:tc>
          <w:tcPr>
            <w:tcW w:w="8260" w:type="dxa"/>
            <w:vAlign w:val="bottom"/>
          </w:tcPr>
          <w:p>
            <w:pPr>
              <w:ind w:left="20"/>
              <w:spacing w:after="0"/>
              <w:rPr>
                <w:sz w:val="20"/>
                <w:szCs w:val="20"/>
                <w:color w:val="auto"/>
              </w:rPr>
            </w:pPr>
            <w:r>
              <w:rPr>
                <w:rFonts w:ascii="Arial" w:cs="Arial" w:eastAsia="Arial" w:hAnsi="Arial"/>
                <w:sz w:val="11"/>
                <w:szCs w:val="11"/>
                <w:color w:val="auto"/>
              </w:rPr>
              <w:t>Agricultural land, production and other loans to farmers</w:t>
            </w: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339,723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283,125</w:t>
            </w: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2"/>
        </w:trPr>
        <w:tc>
          <w:tcPr>
            <w:tcW w:w="8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42"/>
        </w:trPr>
        <w:tc>
          <w:tcPr>
            <w:tcW w:w="8260" w:type="dxa"/>
            <w:vAlign w:val="bottom"/>
          </w:tcPr>
          <w:p>
            <w:pPr>
              <w:ind w:left="240"/>
              <w:spacing w:after="0"/>
              <w:rPr>
                <w:sz w:val="20"/>
                <w:szCs w:val="20"/>
                <w:color w:val="auto"/>
              </w:rPr>
            </w:pPr>
            <w:r>
              <w:rPr>
                <w:rFonts w:ascii="Arial" w:cs="Arial" w:eastAsia="Arial" w:hAnsi="Arial"/>
                <w:sz w:val="11"/>
                <w:szCs w:val="11"/>
                <w:color w:val="auto"/>
              </w:rPr>
              <w:t>Construction</w:t>
            </w: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959,483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804,775</w:t>
            </w: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42"/>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3,208,902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2,338,666</w:t>
            </w:r>
          </w:p>
        </w:tc>
      </w:tr>
      <w:tr>
        <w:trPr>
          <w:trHeight w:val="142"/>
        </w:trPr>
        <w:tc>
          <w:tcPr>
            <w:tcW w:w="8260" w:type="dxa"/>
            <w:vAlign w:val="bottom"/>
          </w:tcPr>
          <w:p>
            <w:pPr>
              <w:ind w:left="240"/>
              <w:spacing w:after="0"/>
              <w:rPr>
                <w:sz w:val="20"/>
                <w:szCs w:val="20"/>
                <w:color w:val="auto"/>
              </w:rPr>
            </w:pPr>
            <w:r>
              <w:rPr>
                <w:rFonts w:ascii="Arial" w:cs="Arial" w:eastAsia="Arial" w:hAnsi="Arial"/>
                <w:sz w:val="11"/>
                <w:szCs w:val="11"/>
                <w:color w:val="auto"/>
              </w:rPr>
              <w:t>Commercial real estate, owner occupied</w:t>
            </w: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1,440,264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1,237,100</w:t>
            </w: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42"/>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Residential</w:t>
            </w: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2,419,376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2,420,310</w:t>
            </w:r>
          </w:p>
        </w:tc>
      </w:tr>
      <w:tr>
        <w:trPr>
          <w:trHeight w:val="152"/>
        </w:trPr>
        <w:tc>
          <w:tcPr>
            <w:tcW w:w="8260" w:type="dxa"/>
            <w:vAlign w:val="bottom"/>
          </w:tcPr>
          <w:p>
            <w:pPr>
              <w:ind w:left="240"/>
              <w:spacing w:after="0"/>
              <w:rPr>
                <w:sz w:val="20"/>
                <w:szCs w:val="20"/>
                <w:color w:val="auto"/>
              </w:rPr>
            </w:pPr>
            <w:r>
              <w:rPr>
                <w:rFonts w:ascii="Arial" w:cs="Arial" w:eastAsia="Arial" w:hAnsi="Arial"/>
                <w:sz w:val="11"/>
                <w:szCs w:val="11"/>
                <w:color w:val="auto"/>
              </w:rPr>
              <w:t>Home equity</w:t>
            </w: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1,139,040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710,980</w:t>
            </w:r>
          </w:p>
        </w:tc>
      </w:tr>
      <w:tr>
        <w:trPr>
          <w:trHeight w:val="15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16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157,939</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155,436</w:t>
            </w:r>
          </w:p>
        </w:tc>
      </w:tr>
      <w:tr>
        <w:trPr>
          <w:trHeight w:val="15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Public finance and other commercial loans</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1,357,675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1,363,033</w:t>
            </w:r>
          </w:p>
        </w:tc>
      </w:tr>
      <w:tr>
        <w:trPr>
          <w:trHeight w:val="187"/>
        </w:trPr>
        <w:tc>
          <w:tcPr>
            <w:tcW w:w="82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Loans</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15,600,974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13,791,707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Credit Quality</w:t>
      </w:r>
    </w:p>
    <w:p>
      <w:pPr>
        <w:spacing w:after="0" w:line="15"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As part of the ongoing monitoring of the credit quality of the Corporation's loan portfolio, management tracks certain credit quality indicators including trends related to: (i) the level of criticized commercial loans, (ii) net charge-offs, (iii) nonperforming loans, (iv) covenant failures and (v) the general national and local economic conditions.</w:t>
      </w:r>
    </w:p>
    <w:p>
      <w:pPr>
        <w:spacing w:after="0" w:line="199"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Corporation utilizes a risk grading of pass, special mention, substandard, doubtful and loss to assess the overall credit quality of large commercial loans. All large commercial credit grades are reviewed at a minimum of once a year for pass grade loans. Loans with grades below pass are reviewed more frequently depending on the grade. A description of the general characteristics of these grades is as follows:</w:t>
      </w:r>
    </w:p>
    <w:p>
      <w:pPr>
        <w:spacing w:after="0" w:line="21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Pass – Loans that are considered to be of acceptable credit quality.</w:t>
      </w:r>
    </w:p>
    <w:p>
      <w:pPr>
        <w:spacing w:after="0" w:line="284" w:lineRule="exact"/>
        <w:rPr>
          <w:rFonts w:ascii="Arial" w:cs="Arial" w:eastAsia="Arial" w:hAnsi="Arial"/>
          <w:sz w:val="14"/>
          <w:szCs w:val="14"/>
          <w:color w:val="auto"/>
        </w:rPr>
      </w:pPr>
    </w:p>
    <w:p>
      <w:pPr>
        <w:ind w:left="660" w:right="60" w:hanging="328"/>
        <w:spacing w:after="0" w:line="283"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color w:val="auto"/>
        </w:rPr>
        <w:t>Special Mention – Loans which possess some credit deficiency or potential weakness, which deserves close attention. If left uncorrected, these potential weaknesses may result in deterioration of the repayment prospects for the asset or in the Corporation's credit position at some future date. Special mention assets are not adversely classified and do not expose the Corporation to sufficient risk to warrant adverse classification.</w:t>
      </w:r>
    </w:p>
    <w:p>
      <w:pPr>
        <w:spacing w:after="0" w:line="226" w:lineRule="exact"/>
        <w:rPr>
          <w:rFonts w:ascii="Arial" w:cs="Arial" w:eastAsia="Arial" w:hAnsi="Arial"/>
          <w:sz w:val="14"/>
          <w:szCs w:val="14"/>
          <w:color w:val="auto"/>
        </w:rPr>
      </w:pPr>
    </w:p>
    <w:p>
      <w:pPr>
        <w:ind w:left="660" w:right="140" w:hanging="328"/>
        <w:spacing w:after="0" w:line="283"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Substandard – Loans that are inadequately protected by the current net worth and paying capacity of the obligor or of the collateral pledged, if any. Assets so classified have a well-defined weakness that jeopardizes the liquidation of the debt. They are characterized by the distinct possibility that the Corporation will sustain some loss if the deficiencies are not corrected.</w:t>
      </w:r>
    </w:p>
    <w:p>
      <w:pPr>
        <w:spacing w:after="0" w:line="213" w:lineRule="exact"/>
        <w:rPr>
          <w:rFonts w:ascii="Arial" w:cs="Arial" w:eastAsia="Arial" w:hAnsi="Arial"/>
          <w:sz w:val="14"/>
          <w:szCs w:val="14"/>
          <w:color w:val="auto"/>
        </w:rPr>
      </w:pPr>
    </w:p>
    <w:p>
      <w:pPr>
        <w:ind w:left="660" w:right="320" w:hanging="328"/>
        <w:spacing w:after="0" w:line="305"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color w:val="auto"/>
        </w:rPr>
        <w:t>Doubtful – Loans that have all of the weaknesses of those classified as Substandard. However, based on existing facts, conditions and values, these weaknesses make full collection of principal highly questionable and improbable.</w:t>
      </w:r>
    </w:p>
    <w:p>
      <w:pPr>
        <w:spacing w:after="0" w:line="211" w:lineRule="exact"/>
        <w:rPr>
          <w:rFonts w:ascii="Arial" w:cs="Arial" w:eastAsia="Arial" w:hAnsi="Arial"/>
          <w:sz w:val="14"/>
          <w:szCs w:val="14"/>
          <w:color w:val="auto"/>
        </w:rPr>
      </w:pPr>
    </w:p>
    <w:p>
      <w:pPr>
        <w:ind w:left="660" w:hanging="328"/>
        <w:spacing w:after="0" w:line="283" w:lineRule="auto"/>
        <w:tabs>
          <w:tab w:leader="none" w:pos="656" w:val="left"/>
        </w:tabs>
        <w:numPr>
          <w:ilvl w:val="0"/>
          <w:numId w:val="5"/>
        </w:numPr>
        <w:rPr>
          <w:rFonts w:ascii="Arial" w:cs="Arial" w:eastAsia="Arial" w:hAnsi="Arial"/>
          <w:sz w:val="14"/>
          <w:szCs w:val="14"/>
          <w:color w:val="auto"/>
        </w:rPr>
      </w:pPr>
      <w:r>
        <w:rPr>
          <w:rFonts w:ascii="Arial" w:cs="Arial" w:eastAsia="Arial" w:hAnsi="Arial"/>
          <w:sz w:val="14"/>
          <w:szCs w:val="14"/>
          <w:color w:val="auto"/>
        </w:rPr>
        <w:t>Loss – Loans that are considered uncollectible and of such little value that continuing to carry them as an asset is not warranted. Loans will be classified as Loss when it is neither practical nor desirable to defer charging-off or reserving all or a portion of a basically worthless asset, even though partial recovery may be possible at some time in the future.</w:t>
      </w:r>
    </w:p>
    <w:p>
      <w:pPr>
        <w:spacing w:after="0" w:line="227" w:lineRule="exact"/>
        <w:rPr>
          <w:sz w:val="20"/>
          <w:szCs w:val="20"/>
          <w:color w:val="auto"/>
        </w:rPr>
      </w:pPr>
    </w:p>
    <w:p>
      <w:pPr>
        <w:ind w:right="200"/>
        <w:spacing w:after="0" w:line="276" w:lineRule="auto"/>
        <w:rPr>
          <w:sz w:val="20"/>
          <w:szCs w:val="20"/>
          <w:color w:val="auto"/>
        </w:rPr>
      </w:pPr>
      <w:r>
        <w:rPr>
          <w:rFonts w:ascii="Arial" w:cs="Arial" w:eastAsia="Arial" w:hAnsi="Arial"/>
          <w:sz w:val="14"/>
          <w:szCs w:val="14"/>
          <w:color w:val="auto"/>
        </w:rPr>
        <w:t>The following tables summarize the risk grading of the Corporation’s loan portfolio and gross charge-offs by loan class and by year of origination for the periods indicated. Consumer loans are not risk graded. For the purposes of this disclosure, consumer loans are classified in the following manner: loans that are less than 30 days past due are Pass, loans 30-89 days past due are Special Mention and loans greater than 89 days past due or nonperforming are Substandard. The entire balance of a loan is considered delinquent if the minimum payment contractually required to be made is not received by the specified due date.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5"/>
          </w:tcPr>
          <w:p>
            <w:pPr>
              <w:jc w:val="right"/>
              <w:spacing w:after="0"/>
              <w:rPr>
                <w:sz w:val="20"/>
                <w:szCs w:val="20"/>
                <w:color w:val="auto"/>
              </w:rPr>
            </w:pPr>
            <w:r>
              <w:rPr>
                <w:rFonts w:ascii="Arial" w:cs="Arial" w:eastAsia="Arial" w:hAnsi="Arial"/>
                <w:sz w:val="11"/>
                <w:szCs w:val="11"/>
                <w:b w:val="1"/>
                <w:bCs w:val="1"/>
                <w:color w:val="auto"/>
              </w:rPr>
              <w:t>September 30, 2026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1"/>
          </w:tcPr>
          <w:p>
            <w:pPr>
              <w:ind w:left="80"/>
              <w:spacing w:after="0"/>
              <w:rPr>
                <w:sz w:val="20"/>
                <w:szCs w:val="20"/>
                <w:color w:val="auto"/>
              </w:rPr>
            </w:pPr>
            <w:r>
              <w:rPr>
                <w:rFonts w:ascii="Arial" w:cs="Arial" w:eastAsia="Arial" w:hAnsi="Arial"/>
                <w:sz w:val="11"/>
                <w:szCs w:val="11"/>
                <w:b w:val="1"/>
                <w:bCs w:val="1"/>
                <w:color w:val="auto"/>
              </w:rPr>
              <w:t>Term Loans (amortized cost basis by origination year)</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8"/>
              </w:rPr>
              <w:t>Revolving</w:t>
            </w: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8"/>
              </w:rPr>
              <w:t>Revolving</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loans</w:t>
            </w: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loans</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2024</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2023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6"/>
              </w:rPr>
              <w:t>amortized</w:t>
            </w:r>
          </w:p>
        </w:tc>
        <w:tc>
          <w:tcPr>
            <w:tcW w:w="8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96"/>
              </w:rPr>
              <w:t>converted to</w:t>
            </w:r>
          </w:p>
        </w:tc>
        <w:tc>
          <w:tcPr>
            <w:tcW w:w="140" w:type="dxa"/>
            <w:vAlign w:val="bottom"/>
          </w:tcPr>
          <w:p>
            <w:pPr>
              <w:spacing w:after="0"/>
              <w:rPr>
                <w:sz w:val="9"/>
                <w:szCs w:val="9"/>
                <w:color w:val="auto"/>
              </w:rPr>
            </w:pPr>
          </w:p>
        </w:tc>
        <w:tc>
          <w:tcPr>
            <w:tcW w:w="66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cost basis</w:t>
            </w: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term</w:t>
            </w: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140"/>
              <w:spacing w:after="0"/>
              <w:rPr>
                <w:sz w:val="20"/>
                <w:szCs w:val="20"/>
                <w:color w:val="auto"/>
              </w:rPr>
            </w:pPr>
            <w:r>
              <w:rPr>
                <w:rFonts w:ascii="Arial" w:cs="Arial" w:eastAsia="Arial" w:hAnsi="Arial"/>
                <w:sz w:val="11"/>
                <w:szCs w:val="11"/>
                <w:color w:val="auto"/>
              </w:rPr>
              <w:t>Pass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639,136</w:t>
            </w: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1,023,933</w:t>
            </w: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495,343</w:t>
            </w:r>
          </w:p>
        </w:tc>
        <w:tc>
          <w:tcPr>
            <w:tcW w:w="12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147,204</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124,450</w:t>
            </w:r>
          </w:p>
        </w:tc>
        <w:tc>
          <w:tcPr>
            <w:tcW w:w="12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177,735</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1,651,199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505</w:t>
            </w:r>
          </w:p>
        </w:tc>
        <w:tc>
          <w:tcPr>
            <w:tcW w:w="12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4,259,505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Special Mention</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15,134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40,885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14,922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67,625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152,463</w:t>
            </w:r>
          </w:p>
        </w:tc>
        <w:tc>
          <w:tcPr>
            <w:tcW w:w="0" w:type="dxa"/>
            <w:vAlign w:val="bottom"/>
          </w:tcPr>
          <w:p>
            <w:pPr>
              <w:spacing w:after="0"/>
              <w:rPr>
                <w:sz w:val="1"/>
                <w:szCs w:val="1"/>
                <w:color w:val="auto"/>
              </w:rPr>
            </w:pPr>
          </w:p>
        </w:tc>
      </w:tr>
      <w:tr>
        <w:trPr>
          <w:trHeight w:val="142"/>
        </w:trPr>
        <w:tc>
          <w:tcPr>
            <w:tcW w:w="3720" w:type="dxa"/>
            <w:vAlign w:val="bottom"/>
          </w:tcPr>
          <w:p>
            <w:pPr>
              <w:ind w:left="140"/>
              <w:spacing w:after="0"/>
              <w:rPr>
                <w:sz w:val="20"/>
                <w:szCs w:val="20"/>
                <w:color w:val="auto"/>
              </w:rPr>
            </w:pPr>
            <w:r>
              <w:rPr>
                <w:rFonts w:ascii="Arial" w:cs="Arial" w:eastAsia="Arial" w:hAnsi="Arial"/>
                <w:sz w:val="11"/>
                <w:szCs w:val="11"/>
                <w:color w:val="auto"/>
              </w:rPr>
              <w:t>Substandard</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5,269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4,665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20,387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5,292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14,667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80,906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136,207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Doubtful</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1,169</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8,702</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14,708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5,362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30,397</w:t>
            </w:r>
          </w:p>
        </w:tc>
        <w:tc>
          <w:tcPr>
            <w:tcW w:w="0" w:type="dxa"/>
            <w:vAlign w:val="bottom"/>
          </w:tcPr>
          <w:p>
            <w:pPr>
              <w:spacing w:after="0"/>
              <w:rPr>
                <w:sz w:val="1"/>
                <w:szCs w:val="1"/>
                <w:color w:val="auto"/>
              </w:rPr>
            </w:pPr>
          </w:p>
        </w:tc>
      </w:tr>
      <w:tr>
        <w:trPr>
          <w:trHeight w:val="149"/>
        </w:trPr>
        <w:tc>
          <w:tcPr>
            <w:tcW w:w="372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Total Commercial and industrial loans</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645,976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1,043,732</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557,784</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175,849</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136,193</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213,419</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1,805,092</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527</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4,578,572</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Current period gross charge-offs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975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19,459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15,340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40,945</w:t>
            </w:r>
          </w:p>
        </w:tc>
        <w:tc>
          <w:tcPr>
            <w:tcW w:w="0" w:type="dxa"/>
            <w:vAlign w:val="bottom"/>
          </w:tcPr>
          <w:p>
            <w:pPr>
              <w:spacing w:after="0"/>
              <w:rPr>
                <w:sz w:val="1"/>
                <w:szCs w:val="1"/>
                <w:color w:val="auto"/>
              </w:rPr>
            </w:pPr>
          </w:p>
        </w:tc>
      </w:tr>
      <w:tr>
        <w:trPr>
          <w:trHeight w:val="122"/>
        </w:trPr>
        <w:tc>
          <w:tcPr>
            <w:tcW w:w="3720" w:type="dxa"/>
            <w:vAlign w:val="bottom"/>
          </w:tcPr>
          <w:p>
            <w:pPr>
              <w:ind w:left="20"/>
              <w:spacing w:after="0" w:line="122" w:lineRule="exact"/>
              <w:rPr>
                <w:sz w:val="20"/>
                <w:szCs w:val="20"/>
                <w:color w:val="auto"/>
              </w:rPr>
            </w:pPr>
            <w:r>
              <w:rPr>
                <w:rFonts w:ascii="Arial" w:cs="Arial" w:eastAsia="Arial" w:hAnsi="Arial"/>
                <w:sz w:val="11"/>
                <w:szCs w:val="11"/>
                <w:color w:val="auto"/>
              </w:rPr>
              <w:t>Agricultural land, production and other loans to farmers</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Pass</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52,762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61,469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19,627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19,936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25,131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69,241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81,518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329,684</w:t>
            </w:r>
          </w:p>
        </w:tc>
        <w:tc>
          <w:tcPr>
            <w:tcW w:w="0" w:type="dxa"/>
            <w:vAlign w:val="bottom"/>
          </w:tcPr>
          <w:p>
            <w:pPr>
              <w:spacing w:after="0"/>
              <w:rPr>
                <w:sz w:val="1"/>
                <w:szCs w:val="1"/>
                <w:color w:val="auto"/>
              </w:rPr>
            </w:pPr>
          </w:p>
        </w:tc>
      </w:tr>
      <w:tr>
        <w:trPr>
          <w:trHeight w:val="152"/>
        </w:trPr>
        <w:tc>
          <w:tcPr>
            <w:tcW w:w="3720" w:type="dxa"/>
            <w:vAlign w:val="bottom"/>
          </w:tcPr>
          <w:p>
            <w:pPr>
              <w:ind w:left="14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568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1,484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2,700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6,152</w:t>
            </w:r>
          </w:p>
        </w:tc>
        <w:tc>
          <w:tcPr>
            <w:tcW w:w="0" w:type="dxa"/>
            <w:vAlign w:val="bottom"/>
          </w:tcPr>
          <w:p>
            <w:pPr>
              <w:spacing w:after="0"/>
              <w:rPr>
                <w:sz w:val="1"/>
                <w:szCs w:val="1"/>
                <w:color w:val="auto"/>
              </w:rPr>
            </w:pPr>
          </w:p>
        </w:tc>
      </w:tr>
      <w:tr>
        <w:trPr>
          <w:trHeight w:val="152"/>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1,752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1,439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3,799</w:t>
            </w:r>
          </w:p>
        </w:tc>
        <w:tc>
          <w:tcPr>
            <w:tcW w:w="0" w:type="dxa"/>
            <w:vAlign w:val="bottom"/>
          </w:tcPr>
          <w:p>
            <w:pPr>
              <w:spacing w:after="0"/>
              <w:rPr>
                <w:sz w:val="1"/>
                <w:szCs w:val="1"/>
                <w:color w:val="auto"/>
              </w:rPr>
            </w:pPr>
          </w:p>
        </w:tc>
      </w:tr>
      <w:tr>
        <w:trPr>
          <w:trHeight w:val="155"/>
        </w:trPr>
        <w:tc>
          <w:tcPr>
            <w:tcW w:w="37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Doubtful</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62"/>
        </w:trPr>
        <w:tc>
          <w:tcPr>
            <w:tcW w:w="3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Total Agricultural land, production and other loans to farmers</w:t>
            </w: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52,797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62,037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22,863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20,024</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25,201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71,991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84,810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339,723</w:t>
            </w:r>
          </w:p>
        </w:tc>
        <w:tc>
          <w:tcPr>
            <w:tcW w:w="0" w:type="dxa"/>
            <w:vAlign w:val="bottom"/>
          </w:tcPr>
          <w:p>
            <w:pPr>
              <w:spacing w:after="0"/>
              <w:rPr>
                <w:sz w:val="1"/>
                <w:szCs w:val="1"/>
                <w:color w:val="auto"/>
              </w:rPr>
            </w:pPr>
          </w:p>
        </w:tc>
      </w:tr>
      <w:tr>
        <w:trPr>
          <w:trHeight w:val="149"/>
        </w:trPr>
        <w:tc>
          <w:tcPr>
            <w:tcW w:w="37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28"/>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260"/>
              <w:spacing w:after="0"/>
              <w:rPr>
                <w:sz w:val="20"/>
                <w:szCs w:val="20"/>
                <w:color w:val="auto"/>
              </w:rPr>
            </w:pPr>
            <w:r>
              <w:rPr>
                <w:rFonts w:ascii="Arial" w:cs="Arial" w:eastAsia="Arial" w:hAnsi="Arial"/>
                <w:sz w:val="11"/>
                <w:szCs w:val="11"/>
                <w:color w:val="auto"/>
              </w:rPr>
              <w:t>Construction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116,898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385,881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277,245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86,737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16,207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16,193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15,822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914,983</w:t>
            </w:r>
          </w:p>
        </w:tc>
        <w:tc>
          <w:tcPr>
            <w:tcW w:w="0" w:type="dxa"/>
            <w:vAlign w:val="bottom"/>
          </w:tcPr>
          <w:p>
            <w:pPr>
              <w:spacing w:after="0"/>
              <w:rPr>
                <w:sz w:val="1"/>
                <w:szCs w:val="1"/>
                <w:color w:val="auto"/>
              </w:rPr>
            </w:pPr>
          </w:p>
        </w:tc>
      </w:tr>
      <w:tr>
        <w:trPr>
          <w:trHeight w:val="142"/>
        </w:trPr>
        <w:tc>
          <w:tcPr>
            <w:tcW w:w="3720" w:type="dxa"/>
            <w:vAlign w:val="bottom"/>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3,731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19,812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9,210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32,762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20" w:type="dxa"/>
            <w:vAlign w:val="bottom"/>
            <w:shd w:val="clear" w:color="auto" w:fill="CCEEFF"/>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11,399</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11,738</w:t>
            </w:r>
          </w:p>
        </w:tc>
        <w:tc>
          <w:tcPr>
            <w:tcW w:w="0" w:type="dxa"/>
            <w:vAlign w:val="bottom"/>
          </w:tcPr>
          <w:p>
            <w:pPr>
              <w:spacing w:after="0"/>
              <w:rPr>
                <w:sz w:val="1"/>
                <w:szCs w:val="1"/>
                <w:color w:val="auto"/>
              </w:rPr>
            </w:pPr>
          </w:p>
        </w:tc>
      </w:tr>
      <w:tr>
        <w:trPr>
          <w:trHeight w:val="149"/>
        </w:trPr>
        <w:tc>
          <w:tcPr>
            <w:tcW w:w="3720" w:type="dxa"/>
            <w:vAlign w:val="bottom"/>
          </w:tcPr>
          <w:p>
            <w:pPr>
              <w:ind w:left="660"/>
              <w:spacing w:after="0"/>
              <w:rPr>
                <w:sz w:val="20"/>
                <w:szCs w:val="20"/>
                <w:color w:val="auto"/>
              </w:rPr>
            </w:pPr>
            <w:r>
              <w:rPr>
                <w:rFonts w:ascii="Arial" w:cs="Arial" w:eastAsia="Arial" w:hAnsi="Arial"/>
                <w:sz w:val="11"/>
                <w:szCs w:val="11"/>
                <w:color w:val="auto"/>
              </w:rPr>
              <w:t>Total Construction</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116,898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389,612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297,057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95,947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27,606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16,541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15,822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959,483</w:t>
            </w:r>
          </w:p>
        </w:tc>
        <w:tc>
          <w:tcPr>
            <w:tcW w:w="0" w:type="dxa"/>
            <w:vAlign w:val="bottom"/>
          </w:tcPr>
          <w:p>
            <w:pPr>
              <w:spacing w:after="0"/>
              <w:rPr>
                <w:sz w:val="1"/>
                <w:szCs w:val="1"/>
                <w:color w:val="auto"/>
              </w:rPr>
            </w:pPr>
          </w:p>
        </w:tc>
      </w:tr>
      <w:tr>
        <w:trPr>
          <w:trHeight w:val="148"/>
        </w:trPr>
        <w:tc>
          <w:tcPr>
            <w:tcW w:w="37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319,592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508,484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283,843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294,956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529,131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1,065,362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26,253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3,027,621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7,737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2,473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19,807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3,442</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36,026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70,485</w:t>
            </w:r>
          </w:p>
        </w:tc>
        <w:tc>
          <w:tcPr>
            <w:tcW w:w="0" w:type="dxa"/>
            <w:vAlign w:val="bottom"/>
          </w:tcPr>
          <w:p>
            <w:pPr>
              <w:spacing w:after="0"/>
              <w:rPr>
                <w:sz w:val="1"/>
                <w:szCs w:val="1"/>
                <w:color w:val="auto"/>
              </w:rPr>
            </w:pPr>
          </w:p>
        </w:tc>
      </w:tr>
      <w:tr>
        <w:trPr>
          <w:trHeight w:val="156"/>
        </w:trPr>
        <w:tc>
          <w:tcPr>
            <w:tcW w:w="3720" w:type="dxa"/>
            <w:vAlign w:val="bottom"/>
            <w:tcBorders>
              <w:bottom w:val="single" w:sz="8" w:color="CCEEFF"/>
            </w:tcBorders>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47,525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15,138</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6,015</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5,300</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36,322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110,796</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Total Commercial real estate, non-owner occupied</w:t>
            </w: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319,592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563,746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301,454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320,778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537,873</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1,137,710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27,749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3,208,902</w:t>
            </w:r>
          </w:p>
        </w:tc>
        <w:tc>
          <w:tcPr>
            <w:tcW w:w="0" w:type="dxa"/>
            <w:vAlign w:val="bottom"/>
          </w:tcPr>
          <w:p>
            <w:pPr>
              <w:spacing w:after="0"/>
              <w:rPr>
                <w:sz w:val="1"/>
                <w:szCs w:val="1"/>
                <w:color w:val="auto"/>
              </w:rPr>
            </w:pPr>
          </w:p>
        </w:tc>
      </w:tr>
      <w:tr>
        <w:trPr>
          <w:trHeight w:val="149"/>
        </w:trPr>
        <w:tc>
          <w:tcPr>
            <w:tcW w:w="3720" w:type="dxa"/>
            <w:vAlign w:val="bottom"/>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3,476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3,505</w:t>
            </w:r>
          </w:p>
        </w:tc>
        <w:tc>
          <w:tcPr>
            <w:tcW w:w="0" w:type="dxa"/>
            <w:vAlign w:val="bottom"/>
          </w:tcPr>
          <w:p>
            <w:pPr>
              <w:spacing w:after="0"/>
              <w:rPr>
                <w:sz w:val="1"/>
                <w:szCs w:val="1"/>
                <w:color w:val="auto"/>
              </w:rPr>
            </w:pPr>
          </w:p>
        </w:tc>
      </w:tr>
      <w:tr>
        <w:trPr>
          <w:trHeight w:val="128"/>
        </w:trPr>
        <w:tc>
          <w:tcPr>
            <w:tcW w:w="37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Commercial real estate, owner occupied</w:t>
            </w: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260,900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271,174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131,466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117,636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131,259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389,523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33,603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1,335,561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3,943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3,077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5,392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12,255</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19,151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51,779</w:t>
            </w:r>
          </w:p>
        </w:tc>
        <w:tc>
          <w:tcPr>
            <w:tcW w:w="0" w:type="dxa"/>
            <w:vAlign w:val="bottom"/>
          </w:tcPr>
          <w:p>
            <w:pPr>
              <w:spacing w:after="0"/>
              <w:rPr>
                <w:sz w:val="1"/>
                <w:szCs w:val="1"/>
                <w:color w:val="auto"/>
              </w:rPr>
            </w:pPr>
          </w:p>
        </w:tc>
      </w:tr>
      <w:tr>
        <w:trPr>
          <w:trHeight w:val="152"/>
        </w:trPr>
        <w:tc>
          <w:tcPr>
            <w:tcW w:w="3720" w:type="dxa"/>
            <w:vAlign w:val="bottom"/>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1,896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4,448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18,481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1,811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14,089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10,949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51,919</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480"/>
              <w:spacing w:after="0"/>
              <w:rPr>
                <w:sz w:val="20"/>
                <w:szCs w:val="20"/>
                <w:color w:val="auto"/>
              </w:rPr>
            </w:pPr>
            <w:r>
              <w:rPr>
                <w:rFonts w:ascii="Arial" w:cs="Arial" w:eastAsia="Arial" w:hAnsi="Arial"/>
                <w:sz w:val="11"/>
                <w:szCs w:val="11"/>
                <w:color w:val="auto"/>
              </w:rPr>
              <w:t>Doubtful</w:t>
            </w: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331</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66</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591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1,005</w:t>
            </w:r>
          </w:p>
        </w:tc>
        <w:tc>
          <w:tcPr>
            <w:tcW w:w="0" w:type="dxa"/>
            <w:vAlign w:val="bottom"/>
          </w:tcPr>
          <w:p>
            <w:pPr>
              <w:spacing w:after="0"/>
              <w:rPr>
                <w:sz w:val="1"/>
                <w:szCs w:val="1"/>
                <w:color w:val="auto"/>
              </w:rPr>
            </w:pPr>
          </w:p>
        </w:tc>
      </w:tr>
      <w:tr>
        <w:trPr>
          <w:trHeight w:val="149"/>
        </w:trPr>
        <w:tc>
          <w:tcPr>
            <w:tcW w:w="3720" w:type="dxa"/>
            <w:vAlign w:val="bottom"/>
            <w:tcBorders>
              <w:bottom w:val="single" w:sz="8" w:color="CCEEFF"/>
            </w:tcBorders>
          </w:tcPr>
          <w:p>
            <w:pPr>
              <w:ind w:left="660"/>
              <w:spacing w:after="0"/>
              <w:rPr>
                <w:sz w:val="20"/>
                <w:szCs w:val="20"/>
                <w:color w:val="auto"/>
              </w:rPr>
            </w:pPr>
            <w:r>
              <w:rPr>
                <w:rFonts w:ascii="Arial" w:cs="Arial" w:eastAsia="Arial" w:hAnsi="Arial"/>
                <w:sz w:val="11"/>
                <w:szCs w:val="11"/>
                <w:color w:val="auto"/>
              </w:rPr>
              <w:t>Total Commercial real estate, owner occupied</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263,177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279,582</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153,355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124,905</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157,603</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408,643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52,999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1,440,264</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323</w:t>
            </w:r>
          </w:p>
        </w:tc>
        <w:tc>
          <w:tcPr>
            <w:tcW w:w="0" w:type="dxa"/>
            <w:vAlign w:val="bottom"/>
          </w:tcPr>
          <w:p>
            <w:pPr>
              <w:spacing w:after="0"/>
              <w:rPr>
                <w:sz w:val="1"/>
                <w:szCs w:val="1"/>
                <w:color w:val="auto"/>
              </w:rPr>
            </w:pPr>
          </w:p>
        </w:tc>
      </w:tr>
      <w:tr>
        <w:trPr>
          <w:trHeight w:val="132"/>
        </w:trPr>
        <w:tc>
          <w:tcPr>
            <w:tcW w:w="3720" w:type="dxa"/>
            <w:vAlign w:val="bottom"/>
          </w:tcPr>
          <w:p>
            <w:pPr>
              <w:ind w:left="240"/>
              <w:spacing w:after="0" w:line="122" w:lineRule="exact"/>
              <w:rPr>
                <w:sz w:val="20"/>
                <w:szCs w:val="20"/>
                <w:color w:val="auto"/>
              </w:rPr>
            </w:pPr>
            <w:r>
              <w:rPr>
                <w:rFonts w:ascii="Arial" w:cs="Arial" w:eastAsia="Arial" w:hAnsi="Arial"/>
                <w:sz w:val="11"/>
                <w:szCs w:val="11"/>
                <w:color w:val="auto"/>
              </w:rPr>
              <w:t>Residential</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274,724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310,616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179,590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350,216</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493,245</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733,478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3,431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1,699</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2,346,999</w:t>
            </w:r>
          </w:p>
        </w:tc>
        <w:tc>
          <w:tcPr>
            <w:tcW w:w="0" w:type="dxa"/>
            <w:vAlign w:val="bottom"/>
          </w:tcPr>
          <w:p>
            <w:pPr>
              <w:spacing w:after="0"/>
              <w:rPr>
                <w:sz w:val="1"/>
                <w:szCs w:val="1"/>
                <w:color w:val="auto"/>
              </w:rPr>
            </w:pPr>
          </w:p>
        </w:tc>
      </w:tr>
      <w:tr>
        <w:trPr>
          <w:trHeight w:val="142"/>
        </w:trPr>
        <w:tc>
          <w:tcPr>
            <w:tcW w:w="3720" w:type="dxa"/>
            <w:vAlign w:val="bottom"/>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2,183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8,488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17,924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1,973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9,411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13,570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22,942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3,199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53,757</w:t>
            </w:r>
          </w:p>
        </w:tc>
        <w:tc>
          <w:tcPr>
            <w:tcW w:w="0" w:type="dxa"/>
            <w:vAlign w:val="bottom"/>
          </w:tcPr>
          <w:p>
            <w:pPr>
              <w:spacing w:after="0"/>
              <w:rPr>
                <w:sz w:val="1"/>
                <w:szCs w:val="1"/>
                <w:color w:val="auto"/>
              </w:rPr>
            </w:pPr>
          </w:p>
        </w:tc>
      </w:tr>
      <w:tr>
        <w:trPr>
          <w:trHeight w:val="155"/>
        </w:trPr>
        <w:tc>
          <w:tcPr>
            <w:tcW w:w="3720" w:type="dxa"/>
            <w:vAlign w:val="bottom"/>
          </w:tcPr>
          <w:p>
            <w:pPr>
              <w:ind w:left="480"/>
              <w:spacing w:after="0"/>
              <w:rPr>
                <w:sz w:val="20"/>
                <w:szCs w:val="20"/>
                <w:color w:val="auto"/>
              </w:rPr>
            </w:pPr>
            <w:r>
              <w:rPr>
                <w:rFonts w:ascii="Arial" w:cs="Arial" w:eastAsia="Arial" w:hAnsi="Arial"/>
                <w:sz w:val="11"/>
                <w:szCs w:val="11"/>
                <w:color w:val="auto"/>
              </w:rPr>
              <w:t>Doubtful</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696</w:t>
            </w:r>
          </w:p>
        </w:tc>
        <w:tc>
          <w:tcPr>
            <w:tcW w:w="0" w:type="dxa"/>
            <w:vAlign w:val="bottom"/>
          </w:tcPr>
          <w:p>
            <w:pPr>
              <w:spacing w:after="0"/>
              <w:rPr>
                <w:sz w:val="1"/>
                <w:szCs w:val="1"/>
                <w:color w:val="auto"/>
              </w:rPr>
            </w:pPr>
          </w:p>
        </w:tc>
      </w:tr>
      <w:tr>
        <w:trPr>
          <w:trHeight w:val="162"/>
        </w:trPr>
        <w:tc>
          <w:tcPr>
            <w:tcW w:w="37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1"/>
                <w:szCs w:val="11"/>
                <w:color w:val="auto"/>
              </w:rPr>
              <w:t>Total Residential</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275,036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314,048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182,527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361,810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511,983</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765,037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1,959</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2,419,376</w:t>
            </w:r>
          </w:p>
        </w:tc>
        <w:tc>
          <w:tcPr>
            <w:tcW w:w="0" w:type="dxa"/>
            <w:vAlign w:val="bottom"/>
          </w:tcPr>
          <w:p>
            <w:pPr>
              <w:spacing w:after="0"/>
              <w:rPr>
                <w:sz w:val="1"/>
                <w:szCs w:val="1"/>
                <w:color w:val="auto"/>
              </w:rPr>
            </w:pPr>
          </w:p>
        </w:tc>
      </w:tr>
      <w:tr>
        <w:trPr>
          <w:trHeight w:val="149"/>
        </w:trPr>
        <w:tc>
          <w:tcPr>
            <w:tcW w:w="3720" w:type="dxa"/>
            <w:vAlign w:val="bottom"/>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1,536</w:t>
            </w:r>
          </w:p>
        </w:tc>
        <w:tc>
          <w:tcPr>
            <w:tcW w:w="0" w:type="dxa"/>
            <w:vAlign w:val="bottom"/>
          </w:tcPr>
          <w:p>
            <w:pPr>
              <w:spacing w:after="0"/>
              <w:rPr>
                <w:sz w:val="1"/>
                <w:szCs w:val="1"/>
                <w:color w:val="auto"/>
              </w:rPr>
            </w:pPr>
          </w:p>
        </w:tc>
      </w:tr>
      <w:tr>
        <w:trPr>
          <w:trHeight w:val="148"/>
        </w:trPr>
        <w:tc>
          <w:tcPr>
            <w:tcW w:w="37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Home equity</w:t>
            </w: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20" w:type="dxa"/>
            <w:vAlign w:val="bottom"/>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2,926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8,100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3,456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3,877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19,384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46,330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1,014,997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10,501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1,109,571</w:t>
            </w:r>
          </w:p>
        </w:tc>
        <w:tc>
          <w:tcPr>
            <w:tcW w:w="0" w:type="dxa"/>
            <w:vAlign w:val="bottom"/>
          </w:tcPr>
          <w:p>
            <w:pPr>
              <w:spacing w:after="0"/>
              <w:rPr>
                <w:sz w:val="1"/>
                <w:szCs w:val="1"/>
                <w:color w:val="auto"/>
              </w:rPr>
            </w:pPr>
          </w:p>
        </w:tc>
      </w:tr>
      <w:tr>
        <w:trPr>
          <w:trHeight w:val="152"/>
        </w:trPr>
        <w:tc>
          <w:tcPr>
            <w:tcW w:w="3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554</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9,571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10,541</w:t>
            </w:r>
          </w:p>
        </w:tc>
        <w:tc>
          <w:tcPr>
            <w:tcW w:w="0" w:type="dxa"/>
            <w:vAlign w:val="bottom"/>
          </w:tcPr>
          <w:p>
            <w:pPr>
              <w:spacing w:after="0"/>
              <w:rPr>
                <w:sz w:val="1"/>
                <w:szCs w:val="1"/>
                <w:color w:val="auto"/>
              </w:rPr>
            </w:pPr>
          </w:p>
        </w:tc>
      </w:tr>
      <w:tr>
        <w:trPr>
          <w:trHeight w:val="155"/>
        </w:trPr>
        <w:tc>
          <w:tcPr>
            <w:tcW w:w="3720" w:type="dxa"/>
            <w:vAlign w:val="bottom"/>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1,029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16,458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18,928</w:t>
            </w:r>
          </w:p>
        </w:tc>
        <w:tc>
          <w:tcPr>
            <w:tcW w:w="0" w:type="dxa"/>
            <w:vAlign w:val="bottom"/>
          </w:tcPr>
          <w:p>
            <w:pPr>
              <w:spacing w:after="0"/>
              <w:rPr>
                <w:sz w:val="1"/>
                <w:szCs w:val="1"/>
                <w:color w:val="auto"/>
              </w:rPr>
            </w:pPr>
          </w:p>
        </w:tc>
      </w:tr>
      <w:tr>
        <w:trPr>
          <w:trHeight w:val="162"/>
        </w:trPr>
        <w:tc>
          <w:tcPr>
            <w:tcW w:w="372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1"/>
                <w:szCs w:val="11"/>
                <w:color w:val="auto"/>
              </w:rPr>
              <w:t>Total Home equity</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3,550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4,612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20,244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47,592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1,041,026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10,990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1,139,040</w:t>
            </w:r>
          </w:p>
        </w:tc>
        <w:tc>
          <w:tcPr>
            <w:tcW w:w="0" w:type="dxa"/>
            <w:vAlign w:val="bottom"/>
          </w:tcPr>
          <w:p>
            <w:pPr>
              <w:spacing w:after="0"/>
              <w:rPr>
                <w:sz w:val="1"/>
                <w:szCs w:val="1"/>
                <w:color w:val="auto"/>
              </w:rPr>
            </w:pPr>
          </w:p>
        </w:tc>
      </w:tr>
      <w:tr>
        <w:trPr>
          <w:trHeight w:val="149"/>
        </w:trPr>
        <w:tc>
          <w:tcPr>
            <w:tcW w:w="3720" w:type="dxa"/>
            <w:vAlign w:val="bottom"/>
            <w:tcBorders>
              <w:bottom w:val="single" w:sz="8" w:color="CCEEFF"/>
            </w:tcBorders>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258</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391</w:t>
            </w:r>
          </w:p>
        </w:tc>
        <w:tc>
          <w:tcPr>
            <w:tcW w:w="0" w:type="dxa"/>
            <w:vAlign w:val="bottom"/>
          </w:tcPr>
          <w:p>
            <w:pPr>
              <w:spacing w:after="0"/>
              <w:rPr>
                <w:sz w:val="1"/>
                <w:szCs w:val="1"/>
                <w:color w:val="auto"/>
              </w:rPr>
            </w:pPr>
          </w:p>
        </w:tc>
      </w:tr>
      <w:tr>
        <w:trPr>
          <w:trHeight w:val="12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140"/>
              <w:spacing w:after="0"/>
              <w:rPr>
                <w:sz w:val="20"/>
                <w:szCs w:val="20"/>
                <w:color w:val="auto"/>
              </w:rPr>
            </w:pPr>
            <w:r>
              <w:rPr>
                <w:rFonts w:ascii="Arial" w:cs="Arial" w:eastAsia="Arial" w:hAnsi="Arial"/>
                <w:sz w:val="11"/>
                <w:szCs w:val="11"/>
                <w:color w:val="auto"/>
              </w:rPr>
              <w:t>Pass</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31,794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26,091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11,679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7,924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4,217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57,668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3,074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155,947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Special Mention</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1,199</w:t>
            </w:r>
          </w:p>
        </w:tc>
        <w:tc>
          <w:tcPr>
            <w:tcW w:w="0" w:type="dxa"/>
            <w:vAlign w:val="bottom"/>
          </w:tcPr>
          <w:p>
            <w:pPr>
              <w:spacing w:after="0"/>
              <w:rPr>
                <w:sz w:val="1"/>
                <w:szCs w:val="1"/>
                <w:color w:val="auto"/>
              </w:rPr>
            </w:pPr>
          </w:p>
        </w:tc>
      </w:tr>
      <w:tr>
        <w:trPr>
          <w:trHeight w:val="156"/>
        </w:trPr>
        <w:tc>
          <w:tcPr>
            <w:tcW w:w="37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793</w:t>
            </w:r>
          </w:p>
        </w:tc>
        <w:tc>
          <w:tcPr>
            <w:tcW w:w="0" w:type="dxa"/>
            <w:vAlign w:val="bottom"/>
          </w:tcPr>
          <w:p>
            <w:pPr>
              <w:spacing w:after="0"/>
              <w:rPr>
                <w:sz w:val="1"/>
                <w:szCs w:val="1"/>
                <w:color w:val="auto"/>
              </w:rPr>
            </w:pPr>
          </w:p>
        </w:tc>
      </w:tr>
      <w:tr>
        <w:trPr>
          <w:trHeight w:val="95"/>
        </w:trPr>
        <w:tc>
          <w:tcPr>
            <w:tcW w:w="3720" w:type="dxa"/>
            <w:vAlign w:val="bottom"/>
            <w:shd w:val="clear" w:color="auto" w:fill="CCEEFF"/>
          </w:tcPr>
          <w:p>
            <w:pPr>
              <w:ind w:left="360"/>
              <w:spacing w:after="0" w:line="95" w:lineRule="exact"/>
              <w:rPr>
                <w:sz w:val="20"/>
                <w:szCs w:val="20"/>
                <w:color w:val="auto"/>
              </w:rPr>
            </w:pPr>
            <w:r>
              <w:rPr>
                <w:rFonts w:ascii="Arial" w:cs="Arial" w:eastAsia="Arial" w:hAnsi="Arial"/>
                <w:sz w:val="10"/>
                <w:szCs w:val="10"/>
                <w:color w:val="auto"/>
              </w:rPr>
              <w:t>Total Individuals' loans for household and other personal</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31,891</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26,548</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11,906</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8,103</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13,615</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4,316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58,328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3,232</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157,939</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expenditures</w:t>
            </w: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ind w:left="36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1,564</w:t>
            </w:r>
          </w:p>
        </w:tc>
        <w:tc>
          <w:tcPr>
            <w:tcW w:w="0" w:type="dxa"/>
            <w:vAlign w:val="bottom"/>
          </w:tcPr>
          <w:p>
            <w:pPr>
              <w:spacing w:after="0"/>
              <w:rPr>
                <w:sz w:val="1"/>
                <w:szCs w:val="1"/>
                <w:color w:val="auto"/>
              </w:rPr>
            </w:pPr>
          </w:p>
        </w:tc>
      </w:tr>
      <w:tr>
        <w:trPr>
          <w:trHeight w:val="128"/>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Public finance and other commercial loans</w:t>
            </w: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tcPr>
          <w:p>
            <w:pPr>
              <w:ind w:left="140"/>
              <w:spacing w:after="0"/>
              <w:rPr>
                <w:sz w:val="20"/>
                <w:szCs w:val="20"/>
                <w:color w:val="auto"/>
              </w:rPr>
            </w:pPr>
            <w:r>
              <w:rPr>
                <w:rFonts w:ascii="Arial" w:cs="Arial" w:eastAsia="Arial" w:hAnsi="Arial"/>
                <w:sz w:val="11"/>
                <w:szCs w:val="11"/>
                <w:color w:val="auto"/>
              </w:rPr>
              <w:t>Pass</w:t>
            </w:r>
          </w:p>
        </w:tc>
        <w:tc>
          <w:tcPr>
            <w:tcW w:w="1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69,896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89,692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141,261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52,060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200,988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569,047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227,946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1,350,890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Special Mention</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6,714</w:t>
            </w:r>
          </w:p>
        </w:tc>
        <w:tc>
          <w:tcPr>
            <w:tcW w:w="0" w:type="dxa"/>
            <w:vAlign w:val="bottom"/>
          </w:tcPr>
          <w:p>
            <w:pPr>
              <w:spacing w:after="0"/>
              <w:rPr>
                <w:sz w:val="1"/>
                <w:szCs w:val="1"/>
                <w:color w:val="auto"/>
              </w:rPr>
            </w:pPr>
          </w:p>
        </w:tc>
      </w:tr>
      <w:tr>
        <w:trPr>
          <w:trHeight w:val="155"/>
        </w:trPr>
        <w:tc>
          <w:tcPr>
            <w:tcW w:w="372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56"/>
        </w:trPr>
        <w:tc>
          <w:tcPr>
            <w:tcW w:w="3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Public finance and other commercial loans</w:t>
            </w: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69,896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89,692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141,261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52,060</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200,988</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569,118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234,660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1,357,675</w:t>
            </w:r>
          </w:p>
        </w:tc>
        <w:tc>
          <w:tcPr>
            <w:tcW w:w="0" w:type="dxa"/>
            <w:vAlign w:val="bottom"/>
          </w:tcPr>
          <w:p>
            <w:pPr>
              <w:spacing w:after="0"/>
              <w:rPr>
                <w:sz w:val="1"/>
                <w:szCs w:val="1"/>
                <w:color w:val="auto"/>
              </w:rPr>
            </w:pPr>
          </w:p>
        </w:tc>
      </w:tr>
      <w:tr>
        <w:trPr>
          <w:trHeight w:val="162"/>
        </w:trPr>
        <w:tc>
          <w:tcPr>
            <w:tcW w:w="3720" w:type="dxa"/>
            <w:vAlign w:val="bottom"/>
          </w:tcPr>
          <w:p>
            <w:pPr>
              <w:ind w:left="680"/>
              <w:spacing w:after="0"/>
              <w:rPr>
                <w:sz w:val="20"/>
                <w:szCs w:val="20"/>
                <w:color w:val="auto"/>
              </w:rPr>
            </w:pPr>
            <w:r>
              <w:rPr>
                <w:rFonts w:ascii="Arial" w:cs="Arial" w:eastAsia="Arial" w:hAnsi="Arial"/>
                <w:sz w:val="11"/>
                <w:szCs w:val="11"/>
                <w:color w:val="auto"/>
              </w:rPr>
              <w:t>Loans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1,778,189</w:t>
            </w:r>
          </w:p>
        </w:tc>
        <w:tc>
          <w:tcPr>
            <w:tcW w:w="1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2,777,097</w:t>
            </w:r>
          </w:p>
        </w:tc>
        <w:tc>
          <w:tcPr>
            <w:tcW w:w="10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1,671,757</w:t>
            </w:r>
          </w:p>
        </w:tc>
        <w:tc>
          <w:tcPr>
            <w:tcW w:w="12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1,164,088</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1,631,306</w:t>
            </w:r>
          </w:p>
        </w:tc>
        <w:tc>
          <w:tcPr>
            <w:tcW w:w="120" w:type="dxa"/>
            <w:vAlign w:val="bottom"/>
          </w:tcPr>
          <w:p>
            <w:pPr>
              <w:spacing w:after="0"/>
              <w:rPr>
                <w:sz w:val="14"/>
                <w:szCs w:val="14"/>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3,234,367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3,327,462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16,708</w:t>
            </w:r>
          </w:p>
        </w:tc>
        <w:tc>
          <w:tcPr>
            <w:tcW w:w="120" w:type="dxa"/>
            <w:vAlign w:val="bottom"/>
          </w:tcPr>
          <w:p>
            <w:pPr>
              <w:spacing w:after="0"/>
              <w:rPr>
                <w:sz w:val="14"/>
                <w:szCs w:val="14"/>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15,600,974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720" w:type="dxa"/>
            <w:vAlign w:val="bottom"/>
            <w:shd w:val="clear" w:color="auto" w:fill="CCEEFF"/>
          </w:tcPr>
          <w:p>
            <w:pPr>
              <w:ind w:left="680"/>
              <w:spacing w:after="0"/>
              <w:rPr>
                <w:sz w:val="20"/>
                <w:szCs w:val="20"/>
                <w:color w:val="auto"/>
              </w:rPr>
            </w:pPr>
            <w:r>
              <w:rPr>
                <w:rFonts w:ascii="Arial" w:cs="Arial" w:eastAsia="Arial" w:hAnsi="Arial"/>
                <w:sz w:val="11"/>
                <w:szCs w:val="11"/>
                <w:color w:val="auto"/>
              </w:rPr>
              <w:t>Total current period gross charge-offs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7,460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1,417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20,493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16,384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48,292</w:t>
            </w:r>
          </w:p>
        </w:tc>
        <w:tc>
          <w:tcPr>
            <w:tcW w:w="0" w:type="dxa"/>
            <w:vAlign w:val="bottom"/>
          </w:tcPr>
          <w:p>
            <w:pPr>
              <w:spacing w:after="0"/>
              <w:rPr>
                <w:sz w:val="1"/>
                <w:szCs w:val="1"/>
                <w:color w:val="auto"/>
              </w:rPr>
            </w:pPr>
          </w:p>
        </w:tc>
      </w:tr>
      <w:tr>
        <w:trPr>
          <w:trHeight w:val="20"/>
        </w:trPr>
        <w:tc>
          <w:tcPr>
            <w:tcW w:w="3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ind w:left="20"/>
              <w:spacing w:after="0"/>
              <w:rPr>
                <w:sz w:val="20"/>
                <w:szCs w:val="20"/>
                <w:color w:val="auto"/>
              </w:rPr>
            </w:pPr>
            <w:r>
              <w:rPr>
                <w:rFonts w:ascii="Arial" w:cs="Arial" w:eastAsia="Arial" w:hAnsi="Arial"/>
                <w:sz w:val="11"/>
                <w:szCs w:val="11"/>
                <w:b w:val="1"/>
                <w:bCs w:val="1"/>
                <w:color w:val="auto"/>
              </w:rPr>
              <w:t>December 31, 2025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1"/>
          </w:tcPr>
          <w:p>
            <w:pPr>
              <w:ind w:left="60"/>
              <w:spacing w:after="0"/>
              <w:rPr>
                <w:sz w:val="20"/>
                <w:szCs w:val="20"/>
                <w:color w:val="auto"/>
              </w:rPr>
            </w:pPr>
            <w:r>
              <w:rPr>
                <w:rFonts w:ascii="Arial" w:cs="Arial" w:eastAsia="Arial" w:hAnsi="Arial"/>
                <w:sz w:val="11"/>
                <w:szCs w:val="11"/>
                <w:b w:val="1"/>
                <w:bCs w:val="1"/>
                <w:color w:val="auto"/>
              </w:rPr>
              <w:t>Term Loans (amortized cost basis by origination year)</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8"/>
              </w:rPr>
              <w:t>Revolving</w:t>
            </w:r>
          </w:p>
        </w:tc>
        <w:tc>
          <w:tcPr>
            <w:tcW w:w="80" w:type="dxa"/>
            <w:vAlign w:val="bottom"/>
          </w:tcPr>
          <w:p>
            <w:pPr>
              <w:spacing w:after="0"/>
              <w:rPr>
                <w:sz w:val="9"/>
                <w:szCs w:val="9"/>
                <w:color w:val="auto"/>
              </w:rPr>
            </w:pPr>
          </w:p>
        </w:tc>
        <w:tc>
          <w:tcPr>
            <w:tcW w:w="86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8"/>
              </w:rPr>
              <w:t>Revolving</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7"/>
              </w:rPr>
              <w:t>loans</w:t>
            </w:r>
          </w:p>
        </w:tc>
        <w:tc>
          <w:tcPr>
            <w:tcW w:w="8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7"/>
              </w:rPr>
              <w:t>loans</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6"/>
              </w:rPr>
              <w:t>amortized</w:t>
            </w:r>
          </w:p>
        </w:tc>
        <w:tc>
          <w:tcPr>
            <w:tcW w:w="8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6"/>
              </w:rPr>
              <w:t>converted to</w:t>
            </w:r>
          </w:p>
        </w:tc>
        <w:tc>
          <w:tcPr>
            <w:tcW w:w="140" w:type="dxa"/>
            <w:vAlign w:val="bottom"/>
          </w:tcPr>
          <w:p>
            <w:pPr>
              <w:spacing w:after="0"/>
              <w:rPr>
                <w:sz w:val="9"/>
                <w:szCs w:val="9"/>
                <w:color w:val="auto"/>
              </w:rPr>
            </w:pPr>
          </w:p>
        </w:tc>
        <w:tc>
          <w:tcPr>
            <w:tcW w:w="68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cost basis</w:t>
            </w: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term</w:t>
            </w: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140"/>
              <w:spacing w:after="0"/>
              <w:rPr>
                <w:sz w:val="20"/>
                <w:szCs w:val="20"/>
                <w:color w:val="auto"/>
              </w:rPr>
            </w:pPr>
            <w:r>
              <w:rPr>
                <w:rFonts w:ascii="Arial" w:cs="Arial" w:eastAsia="Arial" w:hAnsi="Arial"/>
                <w:sz w:val="11"/>
                <w:szCs w:val="11"/>
                <w:color w:val="auto"/>
              </w:rPr>
              <w:t>Pass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1,518,095</w:t>
            </w: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710,695</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236,596</w:t>
            </w: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115,775</w:t>
            </w:r>
          </w:p>
        </w:tc>
        <w:tc>
          <w:tcPr>
            <w:tcW w:w="10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69,834</w:t>
            </w: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65,800</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1,540,939</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4,257,734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Special Mention</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9,552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34,613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7,683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3,246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4,041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40,986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100,600</w:t>
            </w:r>
          </w:p>
        </w:tc>
        <w:tc>
          <w:tcPr>
            <w:tcW w:w="0" w:type="dxa"/>
            <w:vAlign w:val="bottom"/>
          </w:tcPr>
          <w:p>
            <w:pPr>
              <w:spacing w:after="0"/>
              <w:rPr>
                <w:sz w:val="1"/>
                <w:szCs w:val="1"/>
                <w:color w:val="auto"/>
              </w:rPr>
            </w:pPr>
          </w:p>
        </w:tc>
      </w:tr>
      <w:tr>
        <w:trPr>
          <w:trHeight w:val="142"/>
        </w:trPr>
        <w:tc>
          <w:tcPr>
            <w:tcW w:w="3740" w:type="dxa"/>
            <w:vAlign w:val="bottom"/>
          </w:tcPr>
          <w:p>
            <w:pPr>
              <w:ind w:left="140"/>
              <w:spacing w:after="0"/>
              <w:rPr>
                <w:sz w:val="20"/>
                <w:szCs w:val="20"/>
                <w:color w:val="auto"/>
              </w:rPr>
            </w:pPr>
            <w:r>
              <w:rPr>
                <w:rFonts w:ascii="Arial" w:cs="Arial" w:eastAsia="Arial" w:hAnsi="Arial"/>
                <w:sz w:val="11"/>
                <w:szCs w:val="11"/>
                <w:color w:val="auto"/>
              </w:rPr>
              <w:t>Substandard</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17,140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2,980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11,710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19,116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62,556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117,760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Doubtful</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2,188</w:t>
            </w: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Total Commercial and industrial loans</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1,529,635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763,030</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246,950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122,001</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85,585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85,395</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1,645,686</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4,478,282</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7,981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1,348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2,434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3,685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1,964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17,676</w:t>
            </w:r>
          </w:p>
        </w:tc>
        <w:tc>
          <w:tcPr>
            <w:tcW w:w="0" w:type="dxa"/>
            <w:vAlign w:val="bottom"/>
          </w:tcPr>
          <w:p>
            <w:pPr>
              <w:spacing w:after="0"/>
              <w:rPr>
                <w:sz w:val="1"/>
                <w:szCs w:val="1"/>
                <w:color w:val="auto"/>
              </w:rPr>
            </w:pPr>
          </w:p>
        </w:tc>
      </w:tr>
      <w:tr>
        <w:trPr>
          <w:trHeight w:val="122"/>
        </w:trPr>
        <w:tc>
          <w:tcPr>
            <w:tcW w:w="3740" w:type="dxa"/>
            <w:vAlign w:val="bottom"/>
          </w:tcPr>
          <w:p>
            <w:pPr>
              <w:ind w:left="20"/>
              <w:spacing w:after="0" w:line="122" w:lineRule="exact"/>
              <w:rPr>
                <w:sz w:val="20"/>
                <w:szCs w:val="20"/>
                <w:color w:val="auto"/>
              </w:rPr>
            </w:pPr>
            <w:r>
              <w:rPr>
                <w:rFonts w:ascii="Arial" w:cs="Arial" w:eastAsia="Arial" w:hAnsi="Arial"/>
                <w:sz w:val="11"/>
                <w:szCs w:val="11"/>
                <w:color w:val="auto"/>
              </w:rPr>
              <w:t>Agricultural land, production and other loans to farmers</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Pass</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62,959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18,469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20,924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24,465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22,246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42,529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80,039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271,631</w:t>
            </w:r>
          </w:p>
        </w:tc>
        <w:tc>
          <w:tcPr>
            <w:tcW w:w="0" w:type="dxa"/>
            <w:vAlign w:val="bottom"/>
          </w:tcPr>
          <w:p>
            <w:pPr>
              <w:spacing w:after="0"/>
              <w:rPr>
                <w:sz w:val="1"/>
                <w:szCs w:val="1"/>
                <w:color w:val="auto"/>
              </w:rPr>
            </w:pPr>
          </w:p>
        </w:tc>
      </w:tr>
      <w:tr>
        <w:trPr>
          <w:trHeight w:val="152"/>
        </w:trPr>
        <w:tc>
          <w:tcPr>
            <w:tcW w:w="3740" w:type="dxa"/>
            <w:vAlign w:val="bottom"/>
          </w:tcPr>
          <w:p>
            <w:pPr>
              <w:ind w:left="14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1,182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5,407</w:t>
            </w:r>
          </w:p>
        </w:tc>
        <w:tc>
          <w:tcPr>
            <w:tcW w:w="0" w:type="dxa"/>
            <w:vAlign w:val="bottom"/>
          </w:tcPr>
          <w:p>
            <w:pPr>
              <w:spacing w:after="0"/>
              <w:rPr>
                <w:sz w:val="1"/>
                <w:szCs w:val="1"/>
                <w:color w:val="auto"/>
              </w:rPr>
            </w:pPr>
          </w:p>
        </w:tc>
      </w:tr>
      <w:tr>
        <w:trPr>
          <w:trHeight w:val="172"/>
        </w:trPr>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2,085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1,221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6,087</w:t>
            </w: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Total Agricultural land, production and other loans to farmers</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64,149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22,270</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20,962</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24,964</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22,246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46,092</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82,442</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283,125</w:t>
            </w:r>
          </w:p>
        </w:tc>
        <w:tc>
          <w:tcPr>
            <w:tcW w:w="0" w:type="dxa"/>
            <w:vAlign w:val="bottom"/>
          </w:tcPr>
          <w:p>
            <w:pPr>
              <w:spacing w:after="0"/>
              <w:rPr>
                <w:sz w:val="1"/>
                <w:szCs w:val="1"/>
                <w:color w:val="auto"/>
              </w:rPr>
            </w:pPr>
          </w:p>
        </w:tc>
      </w:tr>
      <w:tr>
        <w:trPr>
          <w:trHeight w:val="12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260"/>
              <w:spacing w:after="0"/>
              <w:rPr>
                <w:sz w:val="20"/>
                <w:szCs w:val="20"/>
                <w:color w:val="auto"/>
              </w:rPr>
            </w:pPr>
            <w:r>
              <w:rPr>
                <w:rFonts w:ascii="Arial" w:cs="Arial" w:eastAsia="Arial" w:hAnsi="Arial"/>
                <w:sz w:val="11"/>
                <w:szCs w:val="11"/>
                <w:color w:val="auto"/>
              </w:rPr>
              <w:t>Construction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shd w:val="clear" w:color="auto" w:fill="CCEEFF"/>
          </w:tcPr>
          <w:p>
            <w:pPr>
              <w:ind w:left="480"/>
              <w:spacing w:after="0"/>
              <w:rPr>
                <w:sz w:val="20"/>
                <w:szCs w:val="20"/>
                <w:color w:val="auto"/>
              </w:rPr>
            </w:pPr>
            <w:r>
              <w:rPr>
                <w:rFonts w:ascii="Arial" w:cs="Arial" w:eastAsia="Arial" w:hAnsi="Arial"/>
                <w:sz w:val="11"/>
                <w:szCs w:val="11"/>
                <w:color w:val="auto"/>
              </w:rPr>
              <w:t>Pass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231,041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313,838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100,587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17,515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15,261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689,117</w:t>
            </w:r>
          </w:p>
        </w:tc>
        <w:tc>
          <w:tcPr>
            <w:tcW w:w="0" w:type="dxa"/>
            <w:vAlign w:val="bottom"/>
          </w:tcPr>
          <w:p>
            <w:pPr>
              <w:spacing w:after="0"/>
              <w:rPr>
                <w:sz w:val="1"/>
                <w:szCs w:val="1"/>
                <w:color w:val="auto"/>
              </w:rPr>
            </w:pPr>
          </w:p>
        </w:tc>
      </w:tr>
      <w:tr>
        <w:trPr>
          <w:trHeight w:val="142"/>
        </w:trPr>
        <w:tc>
          <w:tcPr>
            <w:tcW w:w="3740" w:type="dxa"/>
            <w:vAlign w:val="bottom"/>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41,580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6,104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56,367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34,176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12,889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11,585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59,291</w:t>
            </w: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tcPr>
          <w:p>
            <w:pPr>
              <w:ind w:left="660"/>
              <w:spacing w:after="0"/>
              <w:rPr>
                <w:sz w:val="20"/>
                <w:szCs w:val="20"/>
                <w:color w:val="auto"/>
              </w:rPr>
            </w:pPr>
            <w:r>
              <w:rPr>
                <w:rFonts w:ascii="Arial" w:cs="Arial" w:eastAsia="Arial" w:hAnsi="Arial"/>
                <w:sz w:val="11"/>
                <w:szCs w:val="11"/>
                <w:color w:val="auto"/>
              </w:rPr>
              <w:t>Total Construction</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306,797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332,831</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101,228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29,100</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9,604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9,954</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15,261</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804,775</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22"/>
        </w:trPr>
        <w:tc>
          <w:tcPr>
            <w:tcW w:w="3740" w:type="dxa"/>
            <w:vAlign w:val="bottom"/>
          </w:tcPr>
          <w:p>
            <w:pPr>
              <w:ind w:left="240"/>
              <w:spacing w:after="0" w:line="122" w:lineRule="exact"/>
              <w:rPr>
                <w:sz w:val="20"/>
                <w:szCs w:val="20"/>
                <w:color w:val="auto"/>
              </w:rPr>
            </w:pPr>
            <w:r>
              <w:rPr>
                <w:rFonts w:ascii="Arial" w:cs="Arial" w:eastAsia="Arial" w:hAnsi="Arial"/>
                <w:sz w:val="11"/>
                <w:szCs w:val="11"/>
                <w:color w:val="auto"/>
              </w:rPr>
              <w:t>Commercial real estate, non-owner occupied</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482,587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259,106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292,161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258,662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367,482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458,340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31,841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2,150,179</w:t>
            </w:r>
          </w:p>
        </w:tc>
        <w:tc>
          <w:tcPr>
            <w:tcW w:w="0" w:type="dxa"/>
            <w:vAlign w:val="bottom"/>
          </w:tcPr>
          <w:p>
            <w:pPr>
              <w:spacing w:after="0"/>
              <w:rPr>
                <w:sz w:val="1"/>
                <w:szCs w:val="1"/>
                <w:color w:val="auto"/>
              </w:rPr>
            </w:pPr>
          </w:p>
        </w:tc>
      </w:tr>
      <w:tr>
        <w:trPr>
          <w:trHeight w:val="142"/>
        </w:trPr>
        <w:tc>
          <w:tcPr>
            <w:tcW w:w="3740" w:type="dxa"/>
            <w:vAlign w:val="bottom"/>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59,566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36,106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3,633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4,715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106,768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57,489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10,496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5,119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5,171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2,701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81,719</w:t>
            </w: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tcPr>
          <w:p>
            <w:pPr>
              <w:ind w:left="660"/>
              <w:spacing w:after="0"/>
              <w:rPr>
                <w:sz w:val="20"/>
                <w:szCs w:val="20"/>
                <w:color w:val="auto"/>
              </w:rPr>
            </w:pPr>
            <w:r>
              <w:rPr>
                <w:rFonts w:ascii="Arial" w:cs="Arial" w:eastAsia="Arial" w:hAnsi="Arial"/>
                <w:sz w:val="11"/>
                <w:szCs w:val="11"/>
                <w:color w:val="auto"/>
              </w:rPr>
              <w:t>Total Commercial real estate, non-owner occupied</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599,642</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305,708</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297,620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267,466</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372,491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463,717</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32,022</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2,338,666</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467</w:t>
            </w:r>
          </w:p>
        </w:tc>
        <w:tc>
          <w:tcPr>
            <w:tcW w:w="0" w:type="dxa"/>
            <w:vAlign w:val="bottom"/>
          </w:tcPr>
          <w:p>
            <w:pPr>
              <w:spacing w:after="0"/>
              <w:rPr>
                <w:sz w:val="1"/>
                <w:szCs w:val="1"/>
                <w:color w:val="auto"/>
              </w:rPr>
            </w:pPr>
          </w:p>
        </w:tc>
      </w:tr>
      <w:tr>
        <w:trPr>
          <w:trHeight w:val="122"/>
        </w:trPr>
        <w:tc>
          <w:tcPr>
            <w:tcW w:w="3740" w:type="dxa"/>
            <w:vAlign w:val="bottom"/>
          </w:tcPr>
          <w:p>
            <w:pPr>
              <w:ind w:left="240"/>
              <w:spacing w:after="0" w:line="122" w:lineRule="exact"/>
              <w:rPr>
                <w:sz w:val="20"/>
                <w:szCs w:val="20"/>
                <w:color w:val="auto"/>
              </w:rPr>
            </w:pPr>
            <w:r>
              <w:rPr>
                <w:rFonts w:ascii="Arial" w:cs="Arial" w:eastAsia="Arial" w:hAnsi="Arial"/>
                <w:sz w:val="11"/>
                <w:szCs w:val="11"/>
                <w:color w:val="auto"/>
              </w:rPr>
              <w:t>Commercial real estate, owner occupied</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332,121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136,005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129,030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141,679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180,180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219,914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33,983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1,172,912</w:t>
            </w:r>
          </w:p>
        </w:tc>
        <w:tc>
          <w:tcPr>
            <w:tcW w:w="0" w:type="dxa"/>
            <w:vAlign w:val="bottom"/>
          </w:tcPr>
          <w:p>
            <w:pPr>
              <w:spacing w:after="0"/>
              <w:rPr>
                <w:sz w:val="1"/>
                <w:szCs w:val="1"/>
                <w:color w:val="auto"/>
              </w:rPr>
            </w:pPr>
          </w:p>
        </w:tc>
      </w:tr>
      <w:tr>
        <w:trPr>
          <w:trHeight w:val="152"/>
        </w:trPr>
        <w:tc>
          <w:tcPr>
            <w:tcW w:w="3740" w:type="dxa"/>
            <w:vAlign w:val="bottom"/>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16,592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4,922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30,179</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13,510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33,717</w:t>
            </w:r>
          </w:p>
        </w:tc>
        <w:tc>
          <w:tcPr>
            <w:tcW w:w="0" w:type="dxa"/>
            <w:vAlign w:val="bottom"/>
          </w:tcPr>
          <w:p>
            <w:pPr>
              <w:spacing w:after="0"/>
              <w:rPr>
                <w:sz w:val="1"/>
                <w:szCs w:val="1"/>
                <w:color w:val="auto"/>
              </w:rPr>
            </w:pPr>
          </w:p>
        </w:tc>
      </w:tr>
      <w:tr>
        <w:trPr>
          <w:trHeight w:val="155"/>
        </w:trPr>
        <w:tc>
          <w:tcPr>
            <w:tcW w:w="3740" w:type="dxa"/>
            <w:vAlign w:val="bottom"/>
            <w:tcBorders>
              <w:bottom w:val="single" w:sz="8" w:color="CCEEFF"/>
            </w:tcBorders>
          </w:tcPr>
          <w:p>
            <w:pPr>
              <w:ind w:left="480"/>
              <w:spacing w:after="0"/>
              <w:rPr>
                <w:sz w:val="20"/>
                <w:szCs w:val="20"/>
                <w:color w:val="auto"/>
              </w:rPr>
            </w:pPr>
            <w:r>
              <w:rPr>
                <w:rFonts w:ascii="Arial" w:cs="Arial" w:eastAsia="Arial" w:hAnsi="Arial"/>
                <w:sz w:val="11"/>
                <w:szCs w:val="11"/>
                <w:color w:val="auto"/>
              </w:rPr>
              <w:t>Doubtful</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292</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ind w:left="660"/>
              <w:spacing w:after="0"/>
              <w:rPr>
                <w:sz w:val="20"/>
                <w:szCs w:val="20"/>
                <w:color w:val="auto"/>
              </w:rPr>
            </w:pPr>
            <w:r>
              <w:rPr>
                <w:rFonts w:ascii="Arial" w:cs="Arial" w:eastAsia="Arial" w:hAnsi="Arial"/>
                <w:sz w:val="11"/>
                <w:szCs w:val="11"/>
                <w:color w:val="auto"/>
              </w:rPr>
              <w:t>Total Commercial real estate, owner occupied</w:t>
            </w: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333,004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166,399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135,784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152,333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186,079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228,815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34,686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1,237,100</w:t>
            </w:r>
          </w:p>
        </w:tc>
        <w:tc>
          <w:tcPr>
            <w:tcW w:w="0" w:type="dxa"/>
            <w:vAlign w:val="bottom"/>
          </w:tcPr>
          <w:p>
            <w:pPr>
              <w:spacing w:after="0"/>
              <w:rPr>
                <w:sz w:val="1"/>
                <w:szCs w:val="1"/>
                <w:color w:val="auto"/>
              </w:rPr>
            </w:pPr>
          </w:p>
        </w:tc>
      </w:tr>
      <w:tr>
        <w:trPr>
          <w:trHeight w:val="149"/>
        </w:trPr>
        <w:tc>
          <w:tcPr>
            <w:tcW w:w="3740" w:type="dxa"/>
            <w:vAlign w:val="bottom"/>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48"/>
        </w:trPr>
        <w:tc>
          <w:tcPr>
            <w:tcW w:w="3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Residential</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310,019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167,128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389,574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613,787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352,662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528,875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7,188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2,369,279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6,116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9,565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5,993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4,926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28,603</w:t>
            </w:r>
          </w:p>
        </w:tc>
        <w:tc>
          <w:tcPr>
            <w:tcW w:w="0" w:type="dxa"/>
            <w:vAlign w:val="bottom"/>
          </w:tcPr>
          <w:p>
            <w:pPr>
              <w:spacing w:after="0"/>
              <w:rPr>
                <w:sz w:val="1"/>
                <w:szCs w:val="1"/>
                <w:color w:val="auto"/>
              </w:rPr>
            </w:pPr>
          </w:p>
        </w:tc>
      </w:tr>
      <w:tr>
        <w:trPr>
          <w:trHeight w:val="155"/>
        </w:trPr>
        <w:tc>
          <w:tcPr>
            <w:tcW w:w="3740" w:type="dxa"/>
            <w:vAlign w:val="bottom"/>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7,145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3,919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22,428</w:t>
            </w:r>
          </w:p>
        </w:tc>
        <w:tc>
          <w:tcPr>
            <w:tcW w:w="0" w:type="dxa"/>
            <w:vAlign w:val="bottom"/>
          </w:tcPr>
          <w:p>
            <w:pPr>
              <w:spacing w:after="0"/>
              <w:rPr>
                <w:sz w:val="1"/>
                <w:szCs w:val="1"/>
                <w:color w:val="auto"/>
              </w:rPr>
            </w:pPr>
          </w:p>
        </w:tc>
      </w:tr>
      <w:tr>
        <w:trPr>
          <w:trHeight w:val="162"/>
        </w:trPr>
        <w:tc>
          <w:tcPr>
            <w:tcW w:w="37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1"/>
                <w:szCs w:val="11"/>
                <w:color w:val="auto"/>
              </w:rPr>
              <w:t>Total Residential</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310,692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169,851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400,207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630,497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363,495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537,720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7,802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2,420,310</w:t>
            </w: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114</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737</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163</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1,930</w:t>
            </w:r>
          </w:p>
        </w:tc>
        <w:tc>
          <w:tcPr>
            <w:tcW w:w="0" w:type="dxa"/>
            <w:vAlign w:val="bottom"/>
          </w:tcPr>
          <w:p>
            <w:pPr>
              <w:spacing w:after="0"/>
              <w:rPr>
                <w:sz w:val="1"/>
                <w:szCs w:val="1"/>
                <w:color w:val="auto"/>
              </w:rPr>
            </w:pPr>
          </w:p>
        </w:tc>
      </w:tr>
      <w:tr>
        <w:trPr>
          <w:trHeight w:val="129"/>
        </w:trPr>
        <w:tc>
          <w:tcPr>
            <w:tcW w:w="3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Home equity</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80"/>
              <w:spacing w:after="0"/>
              <w:rPr>
                <w:sz w:val="20"/>
                <w:szCs w:val="20"/>
                <w:color w:val="auto"/>
              </w:rPr>
            </w:pPr>
            <w:r>
              <w:rPr>
                <w:rFonts w:ascii="Arial" w:cs="Arial" w:eastAsia="Arial" w:hAnsi="Arial"/>
                <w:sz w:val="11"/>
                <w:szCs w:val="11"/>
                <w:color w:val="auto"/>
              </w:rPr>
              <w:t>Pass</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21,442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42,749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10,194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608,020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1,470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700,499</w:t>
            </w:r>
          </w:p>
        </w:tc>
        <w:tc>
          <w:tcPr>
            <w:tcW w:w="0" w:type="dxa"/>
            <w:vAlign w:val="bottom"/>
          </w:tcPr>
          <w:p>
            <w:pPr>
              <w:spacing w:after="0"/>
              <w:rPr>
                <w:sz w:val="1"/>
                <w:szCs w:val="1"/>
                <w:color w:val="auto"/>
              </w:rPr>
            </w:pPr>
          </w:p>
        </w:tc>
      </w:tr>
      <w:tr>
        <w:trPr>
          <w:trHeight w:val="152"/>
        </w:trPr>
        <w:tc>
          <w:tcPr>
            <w:tcW w:w="3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Special Mention</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5,097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6,903</w:t>
            </w:r>
          </w:p>
        </w:tc>
        <w:tc>
          <w:tcPr>
            <w:tcW w:w="0" w:type="dxa"/>
            <w:vAlign w:val="bottom"/>
          </w:tcPr>
          <w:p>
            <w:pPr>
              <w:spacing w:after="0"/>
              <w:rPr>
                <w:sz w:val="1"/>
                <w:szCs w:val="1"/>
                <w:color w:val="auto"/>
              </w:rPr>
            </w:pPr>
          </w:p>
        </w:tc>
      </w:tr>
      <w:tr>
        <w:trPr>
          <w:trHeight w:val="155"/>
        </w:trPr>
        <w:tc>
          <w:tcPr>
            <w:tcW w:w="3740" w:type="dxa"/>
            <w:vAlign w:val="bottom"/>
          </w:tcPr>
          <w:p>
            <w:pPr>
              <w:ind w:left="480"/>
              <w:spacing w:after="0"/>
              <w:rPr>
                <w:sz w:val="20"/>
                <w:szCs w:val="20"/>
                <w:color w:val="auto"/>
              </w:rPr>
            </w:pPr>
            <w:r>
              <w:rPr>
                <w:rFonts w:ascii="Arial" w:cs="Arial" w:eastAsia="Arial" w:hAnsi="Arial"/>
                <w:sz w:val="11"/>
                <w:szCs w:val="11"/>
                <w:color w:val="auto"/>
              </w:rPr>
              <w:t>Substandard</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2,637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3,578</w:t>
            </w:r>
          </w:p>
        </w:tc>
        <w:tc>
          <w:tcPr>
            <w:tcW w:w="0" w:type="dxa"/>
            <w:vAlign w:val="bottom"/>
          </w:tcPr>
          <w:p>
            <w:pPr>
              <w:spacing w:after="0"/>
              <w:rPr>
                <w:sz w:val="1"/>
                <w:szCs w:val="1"/>
                <w:color w:val="auto"/>
              </w:rPr>
            </w:pPr>
          </w:p>
        </w:tc>
      </w:tr>
      <w:tr>
        <w:trPr>
          <w:trHeight w:val="162"/>
        </w:trPr>
        <w:tc>
          <w:tcPr>
            <w:tcW w:w="37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1"/>
                <w:szCs w:val="11"/>
                <w:color w:val="auto"/>
              </w:rPr>
              <w:t>Total Home equity</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10,233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3,694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3,431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21,829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43,500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10,630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615,754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1,909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710,980</w:t>
            </w: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tcPr>
          <w:p>
            <w:pPr>
              <w:ind w:left="68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653</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204</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1,520</w:t>
            </w:r>
          </w:p>
        </w:tc>
        <w:tc>
          <w:tcPr>
            <w:tcW w:w="0" w:type="dxa"/>
            <w:vAlign w:val="bottom"/>
          </w:tcPr>
          <w:p>
            <w:pPr>
              <w:spacing w:after="0"/>
              <w:rPr>
                <w:sz w:val="1"/>
                <w:szCs w:val="1"/>
                <w:color w:val="auto"/>
              </w:rPr>
            </w:pPr>
          </w:p>
        </w:tc>
      </w:tr>
      <w:tr>
        <w:trPr>
          <w:trHeight w:val="12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140"/>
              <w:spacing w:after="0"/>
              <w:rPr>
                <w:sz w:val="20"/>
                <w:szCs w:val="20"/>
                <w:color w:val="auto"/>
              </w:rPr>
            </w:pPr>
            <w:r>
              <w:rPr>
                <w:rFonts w:ascii="Arial" w:cs="Arial" w:eastAsia="Arial" w:hAnsi="Arial"/>
                <w:sz w:val="11"/>
                <w:szCs w:val="11"/>
                <w:color w:val="auto"/>
              </w:rPr>
              <w:t>Pass</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40,478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16,525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12,010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19,038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5,067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3,961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55,751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1,649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154,479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Special Mention</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957</w:t>
            </w:r>
          </w:p>
        </w:tc>
        <w:tc>
          <w:tcPr>
            <w:tcW w:w="0" w:type="dxa"/>
            <w:vAlign w:val="bottom"/>
          </w:tcPr>
          <w:p>
            <w:pPr>
              <w:spacing w:after="0"/>
              <w:rPr>
                <w:sz w:val="1"/>
                <w:szCs w:val="1"/>
                <w:color w:val="auto"/>
              </w:rPr>
            </w:pPr>
          </w:p>
        </w:tc>
      </w:tr>
      <w:tr>
        <w:trPr>
          <w:trHeight w:val="149"/>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w w:val="98"/>
              </w:rPr>
              <w:t>Total Individuals' loans for household and other personal expenditures</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40,586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16,664</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12,184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19,151</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5,219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3,977</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55,866</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1,789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155,436</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Current period gross charge-offs</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2,165</w:t>
            </w:r>
          </w:p>
        </w:tc>
        <w:tc>
          <w:tcPr>
            <w:tcW w:w="0" w:type="dxa"/>
            <w:vAlign w:val="bottom"/>
          </w:tcPr>
          <w:p>
            <w:pPr>
              <w:spacing w:after="0"/>
              <w:rPr>
                <w:sz w:val="1"/>
                <w:szCs w:val="1"/>
                <w:color w:val="auto"/>
              </w:rPr>
            </w:pPr>
          </w:p>
        </w:tc>
      </w:tr>
      <w:tr>
        <w:trPr>
          <w:trHeight w:val="122"/>
        </w:trPr>
        <w:tc>
          <w:tcPr>
            <w:tcW w:w="3740" w:type="dxa"/>
            <w:vAlign w:val="bottom"/>
          </w:tcPr>
          <w:p>
            <w:pPr>
              <w:ind w:left="40"/>
              <w:spacing w:after="0" w:line="122" w:lineRule="exact"/>
              <w:rPr>
                <w:sz w:val="20"/>
                <w:szCs w:val="20"/>
                <w:color w:val="auto"/>
              </w:rPr>
            </w:pPr>
            <w:r>
              <w:rPr>
                <w:rFonts w:ascii="Arial" w:cs="Arial" w:eastAsia="Arial" w:hAnsi="Arial"/>
                <w:sz w:val="11"/>
                <w:szCs w:val="11"/>
                <w:color w:val="auto"/>
              </w:rPr>
              <w:t>Public finance and other commercial loans</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Pass</w:t>
            </w: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134,004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144,742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52,795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198,964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185,906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407,974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238,648</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1,363,033</w:t>
            </w:r>
          </w:p>
        </w:tc>
        <w:tc>
          <w:tcPr>
            <w:tcW w:w="0" w:type="dxa"/>
            <w:vAlign w:val="bottom"/>
          </w:tcPr>
          <w:p>
            <w:pPr>
              <w:spacing w:after="0"/>
              <w:rPr>
                <w:sz w:val="1"/>
                <w:szCs w:val="1"/>
                <w:color w:val="auto"/>
              </w:rPr>
            </w:pPr>
          </w:p>
        </w:tc>
      </w:tr>
      <w:tr>
        <w:trPr>
          <w:trHeight w:val="149"/>
        </w:trPr>
        <w:tc>
          <w:tcPr>
            <w:tcW w:w="3740" w:type="dxa"/>
            <w:vAlign w:val="bottom"/>
          </w:tcPr>
          <w:p>
            <w:pPr>
              <w:ind w:left="360"/>
              <w:spacing w:after="0"/>
              <w:rPr>
                <w:sz w:val="20"/>
                <w:szCs w:val="20"/>
                <w:color w:val="auto"/>
              </w:rPr>
            </w:pPr>
            <w:r>
              <w:rPr>
                <w:rFonts w:ascii="Arial" w:cs="Arial" w:eastAsia="Arial" w:hAnsi="Arial"/>
                <w:sz w:val="11"/>
                <w:szCs w:val="11"/>
                <w:color w:val="auto"/>
              </w:rPr>
              <w:t>Total Public finance and other commercial loans</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134,004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144,742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52,795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198,964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185,906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407,974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238,648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1,363,033</w:t>
            </w:r>
          </w:p>
        </w:tc>
        <w:tc>
          <w:tcPr>
            <w:tcW w:w="0" w:type="dxa"/>
            <w:vAlign w:val="bottom"/>
          </w:tcPr>
          <w:p>
            <w:pPr>
              <w:spacing w:after="0"/>
              <w:rPr>
                <w:sz w:val="1"/>
                <w:szCs w:val="1"/>
                <w:color w:val="auto"/>
              </w:rPr>
            </w:pPr>
          </w:p>
        </w:tc>
      </w:tr>
      <w:tr>
        <w:trPr>
          <w:trHeight w:val="187"/>
        </w:trPr>
        <w:tc>
          <w:tcPr>
            <w:tcW w:w="374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3,328,742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1,925,189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1,271,161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1,466,305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1,274,125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1,794,274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2,728,167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3,744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13,791,707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1"/>
                <w:szCs w:val="11"/>
                <w:color w:val="auto"/>
              </w:rPr>
              <w:t>Total current period gross charge-offs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40" w:type="dxa"/>
            <w:vAlign w:val="bottom"/>
            <w:vMerge w:val="continue"/>
          </w:tcPr>
          <w:p>
            <w:pPr>
              <w:spacing w:after="0"/>
              <w:rPr>
                <w:sz w:val="10"/>
                <w:szCs w:val="10"/>
                <w:color w:val="auto"/>
              </w:rPr>
            </w:pPr>
          </w:p>
        </w:tc>
        <w:tc>
          <w:tcPr>
            <w:tcW w:w="120" w:type="dxa"/>
            <w:vAlign w:val="bottom"/>
          </w:tcPr>
          <w:p>
            <w:pPr>
              <w:jc w:val="right"/>
              <w:spacing w:after="0" w:line="116" w:lineRule="exact"/>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line="116" w:lineRule="exact"/>
              <w:rPr>
                <w:sz w:val="20"/>
                <w:szCs w:val="20"/>
                <w:color w:val="auto"/>
              </w:rPr>
            </w:pPr>
            <w:r>
              <w:rPr>
                <w:rFonts w:ascii="Arial" w:cs="Arial" w:eastAsia="Arial" w:hAnsi="Arial"/>
                <w:sz w:val="11"/>
                <w:szCs w:val="11"/>
                <w:color w:val="auto"/>
              </w:rPr>
              <w:t>8,288</w:t>
            </w:r>
          </w:p>
        </w:tc>
        <w:tc>
          <w:tcPr>
            <w:tcW w:w="100" w:type="dxa"/>
            <w:vAlign w:val="bottom"/>
          </w:tcPr>
          <w:p>
            <w:pPr>
              <w:spacing w:after="0"/>
              <w:rPr>
                <w:sz w:val="10"/>
                <w:szCs w:val="10"/>
                <w:color w:val="auto"/>
              </w:rPr>
            </w:pPr>
          </w:p>
        </w:tc>
        <w:tc>
          <w:tcPr>
            <w:tcW w:w="140" w:type="dxa"/>
            <w:vAlign w:val="bottom"/>
          </w:tcPr>
          <w:p>
            <w:pPr>
              <w:jc w:val="right"/>
              <w:ind w:right="6"/>
              <w:spacing w:after="0" w:line="116" w:lineRule="exact"/>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line="116" w:lineRule="exact"/>
              <w:rPr>
                <w:sz w:val="20"/>
                <w:szCs w:val="20"/>
                <w:color w:val="auto"/>
              </w:rPr>
            </w:pPr>
            <w:r>
              <w:rPr>
                <w:rFonts w:ascii="Arial" w:cs="Arial" w:eastAsia="Arial" w:hAnsi="Arial"/>
                <w:sz w:val="11"/>
                <w:szCs w:val="11"/>
                <w:color w:val="auto"/>
              </w:rPr>
              <w:t>2,478</w:t>
            </w:r>
          </w:p>
        </w:tc>
        <w:tc>
          <w:tcPr>
            <w:tcW w:w="100" w:type="dxa"/>
            <w:vAlign w:val="bottom"/>
          </w:tcPr>
          <w:p>
            <w:pPr>
              <w:spacing w:after="0"/>
              <w:rPr>
                <w:sz w:val="10"/>
                <w:szCs w:val="10"/>
                <w:color w:val="auto"/>
              </w:rPr>
            </w:pPr>
          </w:p>
        </w:tc>
        <w:tc>
          <w:tcPr>
            <w:tcW w:w="120" w:type="dxa"/>
            <w:vAlign w:val="bottom"/>
          </w:tcPr>
          <w:p>
            <w:pPr>
              <w:jc w:val="right"/>
              <w:spacing w:after="0" w:line="116" w:lineRule="exact"/>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line="116" w:lineRule="exact"/>
              <w:rPr>
                <w:sz w:val="20"/>
                <w:szCs w:val="20"/>
                <w:color w:val="auto"/>
              </w:rPr>
            </w:pPr>
            <w:r>
              <w:rPr>
                <w:rFonts w:ascii="Arial" w:cs="Arial" w:eastAsia="Arial" w:hAnsi="Arial"/>
                <w:sz w:val="11"/>
                <w:szCs w:val="11"/>
                <w:color w:val="auto"/>
              </w:rPr>
              <w:t>4,020</w:t>
            </w:r>
          </w:p>
        </w:tc>
        <w:tc>
          <w:tcPr>
            <w:tcW w:w="100" w:type="dxa"/>
            <w:vAlign w:val="bottom"/>
          </w:tcPr>
          <w:p>
            <w:pPr>
              <w:spacing w:after="0"/>
              <w:rPr>
                <w:sz w:val="10"/>
                <w:szCs w:val="10"/>
                <w:color w:val="auto"/>
              </w:rPr>
            </w:pPr>
          </w:p>
        </w:tc>
        <w:tc>
          <w:tcPr>
            <w:tcW w:w="140" w:type="dxa"/>
            <w:vAlign w:val="bottom"/>
          </w:tcPr>
          <w:p>
            <w:pPr>
              <w:jc w:val="right"/>
              <w:ind w:right="6"/>
              <w:spacing w:after="0" w:line="116" w:lineRule="exact"/>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line="116" w:lineRule="exact"/>
              <w:rPr>
                <w:sz w:val="20"/>
                <w:szCs w:val="20"/>
                <w:color w:val="auto"/>
              </w:rPr>
            </w:pPr>
            <w:r>
              <w:rPr>
                <w:rFonts w:ascii="Arial" w:cs="Arial" w:eastAsia="Arial" w:hAnsi="Arial"/>
                <w:sz w:val="11"/>
                <w:szCs w:val="11"/>
                <w:color w:val="auto"/>
              </w:rPr>
              <w:t>2,501</w:t>
            </w:r>
          </w:p>
        </w:tc>
        <w:tc>
          <w:tcPr>
            <w:tcW w:w="100" w:type="dxa"/>
            <w:vAlign w:val="bottom"/>
          </w:tcPr>
          <w:p>
            <w:pPr>
              <w:spacing w:after="0"/>
              <w:rPr>
                <w:sz w:val="10"/>
                <w:szCs w:val="10"/>
                <w:color w:val="auto"/>
              </w:rPr>
            </w:pPr>
          </w:p>
        </w:tc>
        <w:tc>
          <w:tcPr>
            <w:tcW w:w="120" w:type="dxa"/>
            <w:vAlign w:val="bottom"/>
          </w:tcPr>
          <w:p>
            <w:pPr>
              <w:ind w:left="20"/>
              <w:spacing w:after="0" w:line="116"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16" w:lineRule="exact"/>
              <w:rPr>
                <w:sz w:val="20"/>
                <w:szCs w:val="20"/>
                <w:color w:val="auto"/>
              </w:rPr>
            </w:pPr>
            <w:r>
              <w:rPr>
                <w:rFonts w:ascii="Arial" w:cs="Arial" w:eastAsia="Arial" w:hAnsi="Arial"/>
                <w:sz w:val="11"/>
                <w:szCs w:val="11"/>
                <w:color w:val="auto"/>
              </w:rPr>
              <w:t>4,500</w:t>
            </w:r>
          </w:p>
        </w:tc>
        <w:tc>
          <w:tcPr>
            <w:tcW w:w="100" w:type="dxa"/>
            <w:vAlign w:val="bottom"/>
          </w:tcPr>
          <w:p>
            <w:pPr>
              <w:spacing w:after="0"/>
              <w:rPr>
                <w:sz w:val="10"/>
                <w:szCs w:val="10"/>
                <w:color w:val="auto"/>
              </w:rPr>
            </w:pPr>
          </w:p>
        </w:tc>
        <w:tc>
          <w:tcPr>
            <w:tcW w:w="140" w:type="dxa"/>
            <w:vAlign w:val="bottom"/>
          </w:tcPr>
          <w:p>
            <w:pPr>
              <w:jc w:val="right"/>
              <w:ind w:right="6"/>
              <w:spacing w:after="0" w:line="116" w:lineRule="exact"/>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line="116" w:lineRule="exact"/>
              <w:rPr>
                <w:sz w:val="20"/>
                <w:szCs w:val="20"/>
                <w:color w:val="auto"/>
              </w:rPr>
            </w:pPr>
            <w:r>
              <w:rPr>
                <w:rFonts w:ascii="Arial" w:cs="Arial" w:eastAsia="Arial" w:hAnsi="Arial"/>
                <w:sz w:val="11"/>
                <w:szCs w:val="11"/>
                <w:color w:val="auto"/>
              </w:rPr>
              <w:t>2,434</w:t>
            </w:r>
          </w:p>
        </w:tc>
        <w:tc>
          <w:tcPr>
            <w:tcW w:w="100" w:type="dxa"/>
            <w:vAlign w:val="bottom"/>
          </w:tcPr>
          <w:p>
            <w:pPr>
              <w:spacing w:after="0"/>
              <w:rPr>
                <w:sz w:val="10"/>
                <w:szCs w:val="10"/>
                <w:color w:val="auto"/>
              </w:rPr>
            </w:pPr>
          </w:p>
        </w:tc>
        <w:tc>
          <w:tcPr>
            <w:tcW w:w="100" w:type="dxa"/>
            <w:vAlign w:val="bottom"/>
          </w:tcPr>
          <w:p>
            <w:pPr>
              <w:jc w:val="right"/>
              <w:spacing w:after="0" w:line="116" w:lineRule="exact"/>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6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60"/>
              <w:spacing w:after="0" w:line="116"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line="116" w:lineRule="exact"/>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line="116" w:lineRule="exact"/>
              <w:rPr>
                <w:sz w:val="20"/>
                <w:szCs w:val="20"/>
                <w:color w:val="auto"/>
              </w:rPr>
            </w:pPr>
            <w:r>
              <w:rPr>
                <w:rFonts w:ascii="Arial" w:cs="Arial" w:eastAsia="Arial" w:hAnsi="Arial"/>
                <w:sz w:val="11"/>
                <w:szCs w:val="11"/>
                <w:color w:val="auto"/>
              </w:rPr>
              <w:t>24,221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Total past due loans equaled $141.6 million as of September 30, 2026 representing a $10.7 million increase from $130.9 million at December 31, 2025. At September 30, 2026, 30-59 days past due decreased $11.6 million from December 31, 2025 primarily related to a decrease of $10.3 million in the commercial real estate, non-owner occupied loan class. At September 30, 2026, 60-89 days past due increased $5.2 million from December 31, 2025. At September 30, 2026, 90 days or more past due increased $17.1 million from December 31, 2025 primarily related to increases of $9.4 million, $6.6 million and $6.0 million, respectively, in the commercial real estate, non-owner occupied, commercial and industrial and residential loan classes. The increase was partially offset by a decrease of $10.4 million in the construction loan class. The tables below show a past due aging of the Corporation’s loan portfolio, by loan class, as of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97"/>
              </w:rPr>
              <w:t>September 30, 2026</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7"/>
              </w:rPr>
              <w:t>30-59 Days</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7"/>
              </w:rPr>
              <w:t>60-89 Days</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90 Days or More</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9"/>
              </w:rPr>
              <w:t>Loans &gt; 90 Days</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Total</w:t>
            </w:r>
          </w:p>
        </w:tc>
        <w:tc>
          <w:tcPr>
            <w:tcW w:w="9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9"/>
              </w:rPr>
              <w:t>or More Past Due</w:t>
            </w: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Past Due</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Past Due</w:t>
            </w:r>
          </w:p>
        </w:tc>
        <w:tc>
          <w:tcPr>
            <w:tcW w:w="1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Past Due</w:t>
            </w: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w w:val="99"/>
              </w:rPr>
              <w:t>and Accruing</w:t>
            </w:r>
          </w:p>
        </w:tc>
        <w:tc>
          <w:tcPr>
            <w:tcW w:w="0" w:type="dxa"/>
            <w:vAlign w:val="bottom"/>
          </w:tcPr>
          <w:p>
            <w:pPr>
              <w:spacing w:after="0"/>
              <w:rPr>
                <w:sz w:val="1"/>
                <w:szCs w:val="1"/>
                <w:color w:val="auto"/>
              </w:rPr>
            </w:pPr>
          </w:p>
        </w:tc>
      </w:tr>
      <w:tr>
        <w:trPr>
          <w:trHeight w:val="142"/>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4,551,783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6,603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3,545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16,641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4,578,572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8,026</w:t>
            </w:r>
          </w:p>
        </w:tc>
        <w:tc>
          <w:tcPr>
            <w:tcW w:w="0" w:type="dxa"/>
            <w:vAlign w:val="bottom"/>
          </w:tcPr>
          <w:p>
            <w:pPr>
              <w:spacing w:after="0"/>
              <w:rPr>
                <w:sz w:val="1"/>
                <w:szCs w:val="1"/>
                <w:color w:val="auto"/>
              </w:rPr>
            </w:pPr>
          </w:p>
        </w:tc>
      </w:tr>
      <w:tr>
        <w:trPr>
          <w:trHeight w:val="142"/>
        </w:trPr>
        <w:tc>
          <w:tcPr>
            <w:tcW w:w="4800" w:type="dxa"/>
            <w:vAlign w:val="bottom"/>
          </w:tcPr>
          <w:p>
            <w:pPr>
              <w:ind w:left="20"/>
              <w:spacing w:after="0"/>
              <w:rPr>
                <w:sz w:val="20"/>
                <w:szCs w:val="20"/>
                <w:color w:val="auto"/>
              </w:rPr>
            </w:pPr>
            <w:r>
              <w:rPr>
                <w:rFonts w:ascii="Arial" w:cs="Arial" w:eastAsia="Arial" w:hAnsi="Arial"/>
                <w:sz w:val="11"/>
                <w:szCs w:val="11"/>
                <w:color w:val="auto"/>
              </w:rPr>
              <w:t>Agricultural land, production and other loans to farmers</w:t>
            </w:r>
          </w:p>
        </w:tc>
        <w:tc>
          <w:tcPr>
            <w:tcW w:w="1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339,396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339,723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00" w:type="dxa"/>
            <w:vAlign w:val="bottom"/>
          </w:tcPr>
          <w:p>
            <w:pPr>
              <w:ind w:left="360"/>
              <w:spacing w:after="0"/>
              <w:rPr>
                <w:sz w:val="20"/>
                <w:szCs w:val="20"/>
                <w:color w:val="auto"/>
              </w:rPr>
            </w:pPr>
            <w:r>
              <w:rPr>
                <w:rFonts w:ascii="Arial" w:cs="Arial" w:eastAsia="Arial" w:hAnsi="Arial"/>
                <w:sz w:val="11"/>
                <w:szCs w:val="11"/>
                <w:color w:val="auto"/>
              </w:rPr>
              <w:t>Construction</w:t>
            </w:r>
          </w:p>
        </w:tc>
        <w:tc>
          <w:tcPr>
            <w:tcW w:w="1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946,024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13,346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959,483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3,627</w:t>
            </w:r>
          </w:p>
        </w:tc>
        <w:tc>
          <w:tcPr>
            <w:tcW w:w="0" w:type="dxa"/>
            <w:vAlign w:val="bottom"/>
          </w:tcPr>
          <w:p>
            <w:pPr>
              <w:spacing w:after="0"/>
              <w:rPr>
                <w:sz w:val="1"/>
                <w:szCs w:val="1"/>
                <w:color w:val="auto"/>
              </w:rPr>
            </w:pPr>
          </w:p>
        </w:tc>
      </w:tr>
      <w:tr>
        <w:trPr>
          <w:trHeight w:val="152"/>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Commercial real estate, non-owner occupied</w:t>
            </w:r>
          </w:p>
        </w:tc>
        <w:tc>
          <w:tcPr>
            <w:tcW w:w="1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3,190,142</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8,831</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9,929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3,208,902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683</w:t>
            </w:r>
          </w:p>
        </w:tc>
        <w:tc>
          <w:tcPr>
            <w:tcW w:w="0" w:type="dxa"/>
            <w:vAlign w:val="bottom"/>
          </w:tcPr>
          <w:p>
            <w:pPr>
              <w:spacing w:after="0"/>
              <w:rPr>
                <w:sz w:val="1"/>
                <w:szCs w:val="1"/>
                <w:color w:val="auto"/>
              </w:rPr>
            </w:pPr>
          </w:p>
        </w:tc>
      </w:tr>
      <w:tr>
        <w:trPr>
          <w:trHeight w:val="142"/>
        </w:trPr>
        <w:tc>
          <w:tcPr>
            <w:tcW w:w="4800" w:type="dxa"/>
            <w:vAlign w:val="bottom"/>
          </w:tcPr>
          <w:p>
            <w:pPr>
              <w:ind w:left="360"/>
              <w:spacing w:after="0"/>
              <w:rPr>
                <w:sz w:val="20"/>
                <w:szCs w:val="20"/>
                <w:color w:val="auto"/>
              </w:rPr>
            </w:pPr>
            <w:r>
              <w:rPr>
                <w:rFonts w:ascii="Arial" w:cs="Arial" w:eastAsia="Arial" w:hAnsi="Arial"/>
                <w:sz w:val="11"/>
                <w:szCs w:val="11"/>
                <w:color w:val="auto"/>
              </w:rPr>
              <w:t>Commercial real estate, owner occupied</w:t>
            </w:r>
          </w:p>
        </w:tc>
        <w:tc>
          <w:tcPr>
            <w:tcW w:w="1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1,426,092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1,921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5,849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6,402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1,440,264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Residential</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2,370,269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14,505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7,687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26,915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2,419,376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142"/>
        </w:trPr>
        <w:tc>
          <w:tcPr>
            <w:tcW w:w="4800" w:type="dxa"/>
            <w:vAlign w:val="bottom"/>
          </w:tcPr>
          <w:p>
            <w:pPr>
              <w:ind w:left="360"/>
              <w:spacing w:after="0"/>
              <w:rPr>
                <w:sz w:val="20"/>
                <w:szCs w:val="20"/>
                <w:color w:val="auto"/>
              </w:rPr>
            </w:pPr>
            <w:r>
              <w:rPr>
                <w:rFonts w:ascii="Arial" w:cs="Arial" w:eastAsia="Arial" w:hAnsi="Arial"/>
                <w:sz w:val="11"/>
                <w:szCs w:val="11"/>
                <w:color w:val="auto"/>
              </w:rPr>
              <w:t>Home equity</w:t>
            </w:r>
          </w:p>
        </w:tc>
        <w:tc>
          <w:tcPr>
            <w:tcW w:w="1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1,121,440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8,920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3,443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5,237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1,139,040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156,580</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1,027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102</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157,939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56"/>
        </w:trPr>
        <w:tc>
          <w:tcPr>
            <w:tcW w:w="4800" w:type="dxa"/>
            <w:vAlign w:val="bottom"/>
          </w:tcPr>
          <w:p>
            <w:pPr>
              <w:ind w:left="20"/>
              <w:spacing w:after="0"/>
              <w:rPr>
                <w:sz w:val="20"/>
                <w:szCs w:val="20"/>
                <w:color w:val="auto"/>
              </w:rPr>
            </w:pPr>
            <w:r>
              <w:rPr>
                <w:rFonts w:ascii="Arial" w:cs="Arial" w:eastAsia="Arial" w:hAnsi="Arial"/>
                <w:sz w:val="11"/>
                <w:szCs w:val="11"/>
                <w:color w:val="auto"/>
              </w:rPr>
              <w:t>Public finance and other commercial loans</w:t>
            </w:r>
          </w:p>
        </w:tc>
        <w:tc>
          <w:tcPr>
            <w:tcW w:w="1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1,357,675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1,357,675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4800" w:type="dxa"/>
            <w:vAlign w:val="bottom"/>
            <w:tcBorders>
              <w:top w:val="single" w:sz="8" w:color="CCEEFF"/>
              <w:bottom w:val="single" w:sz="8" w:color="CCEEFF"/>
            </w:tcBorders>
            <w:shd w:val="clear" w:color="auto" w:fill="CCEEFF"/>
          </w:tcPr>
          <w:p>
            <w:pPr>
              <w:ind w:left="880"/>
              <w:spacing w:after="0"/>
              <w:rPr>
                <w:sz w:val="20"/>
                <w:szCs w:val="20"/>
                <w:color w:val="auto"/>
              </w:rPr>
            </w:pPr>
            <w:r>
              <w:rPr>
                <w:rFonts w:ascii="Arial" w:cs="Arial" w:eastAsia="Arial" w:hAnsi="Arial"/>
                <w:sz w:val="11"/>
                <w:szCs w:val="11"/>
                <w:color w:val="auto"/>
              </w:rPr>
              <w:t>Loans</w:t>
            </w: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15,459,401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42,159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20,754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78,660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15,600,974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12,672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96"/>
              </w:rPr>
              <w:t>December 31, 2025</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7"/>
              </w:rPr>
              <w:t>30-59 Days</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7"/>
              </w:rPr>
              <w:t>60-89 Days</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90 Days or More</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9"/>
              </w:rPr>
              <w:t>Loans &gt; 90 Days</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Total</w:t>
            </w:r>
          </w:p>
        </w:tc>
        <w:tc>
          <w:tcPr>
            <w:tcW w:w="9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9"/>
              </w:rPr>
              <w:t>or More Past Due</w:t>
            </w: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Past Due</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Past Due</w:t>
            </w:r>
          </w:p>
        </w:tc>
        <w:tc>
          <w:tcPr>
            <w:tcW w:w="1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Past Due</w:t>
            </w: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auto"/>
                <w:w w:val="99"/>
              </w:rPr>
              <w:t>and Accruing</w:t>
            </w:r>
          </w:p>
        </w:tc>
        <w:tc>
          <w:tcPr>
            <w:tcW w:w="0" w:type="dxa"/>
            <w:vAlign w:val="bottom"/>
          </w:tcPr>
          <w:p>
            <w:pPr>
              <w:spacing w:after="0"/>
              <w:rPr>
                <w:sz w:val="1"/>
                <w:szCs w:val="1"/>
                <w:color w:val="auto"/>
              </w:rPr>
            </w:pPr>
          </w:p>
        </w:tc>
      </w:tr>
      <w:tr>
        <w:trPr>
          <w:trHeight w:val="142"/>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4,459,842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7,194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10,086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4,478,282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313</w:t>
            </w:r>
          </w:p>
        </w:tc>
        <w:tc>
          <w:tcPr>
            <w:tcW w:w="0" w:type="dxa"/>
            <w:vAlign w:val="bottom"/>
          </w:tcPr>
          <w:p>
            <w:pPr>
              <w:spacing w:after="0"/>
              <w:rPr>
                <w:sz w:val="1"/>
                <w:szCs w:val="1"/>
                <w:color w:val="auto"/>
              </w:rPr>
            </w:pPr>
          </w:p>
        </w:tc>
      </w:tr>
      <w:tr>
        <w:trPr>
          <w:trHeight w:val="152"/>
        </w:trPr>
        <w:tc>
          <w:tcPr>
            <w:tcW w:w="4800" w:type="dxa"/>
            <w:vAlign w:val="bottom"/>
          </w:tcPr>
          <w:p>
            <w:pPr>
              <w:ind w:left="20"/>
              <w:spacing w:after="0"/>
              <w:rPr>
                <w:sz w:val="20"/>
                <w:szCs w:val="20"/>
                <w:color w:val="auto"/>
              </w:rPr>
            </w:pPr>
            <w:r>
              <w:rPr>
                <w:rFonts w:ascii="Arial" w:cs="Arial" w:eastAsia="Arial" w:hAnsi="Arial"/>
                <w:sz w:val="11"/>
                <w:szCs w:val="11"/>
                <w:color w:val="auto"/>
              </w:rPr>
              <w:t>Agricultural land, production and other loans to farmers</w:t>
            </w:r>
          </w:p>
        </w:tc>
        <w:tc>
          <w:tcPr>
            <w:tcW w:w="1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282,411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283,125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4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ind w:left="360"/>
              <w:spacing w:after="0"/>
              <w:rPr>
                <w:sz w:val="20"/>
                <w:szCs w:val="20"/>
                <w:color w:val="auto"/>
              </w:rPr>
            </w:pPr>
            <w:r>
              <w:rPr>
                <w:rFonts w:ascii="Arial" w:cs="Arial" w:eastAsia="Arial" w:hAnsi="Arial"/>
                <w:sz w:val="11"/>
                <w:szCs w:val="11"/>
                <w:color w:val="auto"/>
              </w:rPr>
              <w:t>Construction</w:t>
            </w:r>
          </w:p>
        </w:tc>
        <w:tc>
          <w:tcPr>
            <w:tcW w:w="1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780,999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23,776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804,775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1,295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Commercial real estate, non-owner occupied</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2,318,624</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19,125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345</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572</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2,338,666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4800" w:type="dxa"/>
            <w:vAlign w:val="bottom"/>
          </w:tcPr>
          <w:p>
            <w:pPr>
              <w:ind w:left="360"/>
              <w:spacing w:after="0"/>
              <w:rPr>
                <w:sz w:val="20"/>
                <w:szCs w:val="20"/>
                <w:color w:val="auto"/>
              </w:rPr>
            </w:pPr>
            <w:r>
              <w:rPr>
                <w:rFonts w:ascii="Arial" w:cs="Arial" w:eastAsia="Arial" w:hAnsi="Arial"/>
                <w:sz w:val="11"/>
                <w:szCs w:val="11"/>
                <w:color w:val="auto"/>
              </w:rPr>
              <w:t>Commercial real estate, owner occupied</w:t>
            </w:r>
          </w:p>
        </w:tc>
        <w:tc>
          <w:tcPr>
            <w:tcW w:w="1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1,227,448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4,295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2,880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2,477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1,237,100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48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Residential</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2,372,637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17,182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9,536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20,955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2,420,310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434</w:t>
            </w:r>
          </w:p>
        </w:tc>
        <w:tc>
          <w:tcPr>
            <w:tcW w:w="0" w:type="dxa"/>
            <w:vAlign w:val="bottom"/>
          </w:tcPr>
          <w:p>
            <w:pPr>
              <w:spacing w:after="0"/>
              <w:rPr>
                <w:sz w:val="1"/>
                <w:szCs w:val="1"/>
                <w:color w:val="auto"/>
              </w:rPr>
            </w:pPr>
          </w:p>
        </w:tc>
      </w:tr>
      <w:tr>
        <w:trPr>
          <w:trHeight w:val="142"/>
        </w:trPr>
        <w:tc>
          <w:tcPr>
            <w:tcW w:w="4800" w:type="dxa"/>
            <w:vAlign w:val="bottom"/>
          </w:tcPr>
          <w:p>
            <w:pPr>
              <w:ind w:left="360"/>
              <w:spacing w:after="0"/>
              <w:rPr>
                <w:sz w:val="20"/>
                <w:szCs w:val="20"/>
                <w:color w:val="auto"/>
              </w:rPr>
            </w:pPr>
            <w:r>
              <w:rPr>
                <w:rFonts w:ascii="Arial" w:cs="Arial" w:eastAsia="Arial" w:hAnsi="Arial"/>
                <w:sz w:val="11"/>
                <w:szCs w:val="11"/>
                <w:color w:val="auto"/>
              </w:rPr>
              <w:t>Home equity</w:t>
            </w:r>
          </w:p>
        </w:tc>
        <w:tc>
          <w:tcPr>
            <w:tcW w:w="1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701,360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4,717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1,427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3,476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710,980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1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154,479</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738</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219</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155,436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4800" w:type="dxa"/>
            <w:vAlign w:val="bottom"/>
          </w:tcPr>
          <w:p>
            <w:pPr>
              <w:ind w:left="20"/>
              <w:spacing w:after="0"/>
              <w:rPr>
                <w:sz w:val="20"/>
                <w:szCs w:val="20"/>
                <w:color w:val="auto"/>
              </w:rPr>
            </w:pPr>
            <w:r>
              <w:rPr>
                <w:rFonts w:ascii="Arial" w:cs="Arial" w:eastAsia="Arial" w:hAnsi="Arial"/>
                <w:sz w:val="11"/>
                <w:szCs w:val="11"/>
                <w:color w:val="auto"/>
              </w:rPr>
              <w:t>Public finance and other commercial loans</w:t>
            </w:r>
          </w:p>
        </w:tc>
        <w:tc>
          <w:tcPr>
            <w:tcW w:w="18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1,363,033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1,363,033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4800" w:type="dxa"/>
            <w:vAlign w:val="bottom"/>
            <w:tcBorders>
              <w:top w:val="single" w:sz="8" w:color="CCEEFF"/>
              <w:bottom w:val="single" w:sz="8" w:color="CCEEFF"/>
            </w:tcBorders>
            <w:shd w:val="clear" w:color="auto" w:fill="CCEEFF"/>
          </w:tcPr>
          <w:p>
            <w:pPr>
              <w:ind w:left="880"/>
              <w:spacing w:after="0"/>
              <w:rPr>
                <w:sz w:val="20"/>
                <w:szCs w:val="20"/>
                <w:color w:val="auto"/>
              </w:rPr>
            </w:pPr>
            <w:r>
              <w:rPr>
                <w:rFonts w:ascii="Arial" w:cs="Arial" w:eastAsia="Arial" w:hAnsi="Arial"/>
                <w:sz w:val="11"/>
                <w:szCs w:val="11"/>
                <w:color w:val="auto"/>
              </w:rPr>
              <w:t>Loans</w:t>
            </w: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13,660,833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53,731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15,567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61,576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13,791,707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2,042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Loans are placed on nonaccrual status when management concludes that the collection of principal or interest is doubtful based on the borrower's financial condition and the value of the collateral securing the loan. When a loan is placed in nonaccrual status, all accrued interest is reversed against current-period earnings, and any interest recognized in prior periods, if applicable, is charged to the allowance for credit losses. Subsequent cash collections are generally applied to reduce the recorded investment in the loan. A loan is restored to accrual status when all principal and interest amounts are current and management believes collection of the remaining contractual amounts is probable, typically after the borrower demonstrates sustained repayment performance for a minimum of six consecutive months.</w:t>
      </w:r>
    </w:p>
    <w:p>
      <w:pPr>
        <w:sectPr>
          <w:pgSz w:w="11900" w:h="16838" w:orient="portrait"/>
          <w:cols w:equalWidth="0" w:num="1">
            <w:col w:w="11240"/>
          </w:cols>
          <w:pgMar w:left="320" w:top="354" w:right="339" w:bottom="10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0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The following table summarizes the Corporation’s nonaccrual loans by loan class as of the dates indicated. At September 30, 2026, nonaccrual loans totaled $117.4 million, an increase of $45.6 million from December 31, 2025. The increase was primarily driven by increases of $34.2 million in the commercial and industrial loan class, including three loans totaling $29.7 million, and $8.8 million in the commercial real estate, non-owner occupied loan class, including one relationship totaling $8.7 million. Increases of</w:t>
      </w:r>
    </w:p>
    <w:p>
      <w:pPr>
        <w:spacing w:after="0" w:line="2"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color w:val="auto"/>
        </w:rPr>
        <w:t>$7.3 million in commercial real estate, owner occupied and $5.4 million in residential loan classes also contributed to the increase, partially offset by a $12.8 million decrease in the construction loan class primarily attributable to one relationship.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00" w:type="dxa"/>
            <w:vAlign w:val="bottom"/>
            <w:gridSpan w:val="5"/>
          </w:tcPr>
          <w:p>
            <w:pPr>
              <w:ind w:left="820"/>
              <w:spacing w:after="0"/>
              <w:rPr>
                <w:sz w:val="20"/>
                <w:szCs w:val="20"/>
                <w:color w:val="auto"/>
              </w:rPr>
            </w:pPr>
            <w:r>
              <w:rPr>
                <w:rFonts w:ascii="Arial" w:cs="Arial" w:eastAsia="Arial" w:hAnsi="Arial"/>
                <w:sz w:val="11"/>
                <w:szCs w:val="11"/>
                <w:b w:val="1"/>
                <w:bCs w:val="1"/>
                <w:color w:val="auto"/>
              </w:rPr>
              <w:t>September 30, 2026</w:t>
            </w:r>
          </w:p>
        </w:tc>
        <w:tc>
          <w:tcPr>
            <w:tcW w:w="180" w:type="dxa"/>
            <w:vAlign w:val="bottom"/>
          </w:tcPr>
          <w:p>
            <w:pPr>
              <w:spacing w:after="0"/>
              <w:rPr>
                <w:sz w:val="12"/>
                <w:szCs w:val="12"/>
                <w:color w:val="auto"/>
              </w:rPr>
            </w:pPr>
          </w:p>
        </w:tc>
        <w:tc>
          <w:tcPr>
            <w:tcW w:w="2800" w:type="dxa"/>
            <w:vAlign w:val="bottom"/>
            <w:gridSpan w:val="4"/>
          </w:tcPr>
          <w:p>
            <w:pPr>
              <w:jc w:val="right"/>
              <w:ind w:right="946"/>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22"/>
        </w:trPr>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Nonaccrual Loans with no</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7"/>
              </w:rPr>
              <w:t>Nonaccrual Loans with no</w:t>
            </w: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Nonaccrual Loans</w:t>
            </w:r>
          </w:p>
        </w:tc>
        <w:tc>
          <w:tcPr>
            <w:tcW w:w="120" w:type="dxa"/>
            <w:vAlign w:val="bottom"/>
          </w:tcPr>
          <w:p>
            <w:pPr>
              <w:spacing w:after="0"/>
              <w:rPr>
                <w:sz w:val="9"/>
                <w:szCs w:val="9"/>
                <w:color w:val="auto"/>
              </w:rPr>
            </w:pPr>
          </w:p>
        </w:tc>
        <w:tc>
          <w:tcPr>
            <w:tcW w:w="14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9"/>
              </w:rPr>
              <w:t>Allowance for Credit</w:t>
            </w:r>
          </w:p>
        </w:tc>
        <w:tc>
          <w:tcPr>
            <w:tcW w:w="180" w:type="dxa"/>
            <w:vAlign w:val="bottom"/>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Nonaccrual Loans</w:t>
            </w:r>
          </w:p>
        </w:tc>
        <w:tc>
          <w:tcPr>
            <w:tcW w:w="140" w:type="dxa"/>
            <w:vAlign w:val="bottom"/>
          </w:tcPr>
          <w:p>
            <w:pPr>
              <w:spacing w:after="0"/>
              <w:rPr>
                <w:sz w:val="9"/>
                <w:szCs w:val="9"/>
                <w:color w:val="auto"/>
              </w:rPr>
            </w:pPr>
          </w:p>
        </w:tc>
        <w:tc>
          <w:tcPr>
            <w:tcW w:w="130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auto"/>
                <w:w w:val="97"/>
              </w:rPr>
              <w:t>Allowance for Credit</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Losses</w:t>
            </w:r>
          </w:p>
        </w:tc>
        <w:tc>
          <w:tcPr>
            <w:tcW w:w="1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auto"/>
              </w:rPr>
              <w:t>Losses</w:t>
            </w:r>
          </w:p>
        </w:tc>
        <w:tc>
          <w:tcPr>
            <w:tcW w:w="0" w:type="dxa"/>
            <w:vAlign w:val="bottom"/>
          </w:tcPr>
          <w:p>
            <w:pPr>
              <w:spacing w:after="0"/>
              <w:rPr>
                <w:sz w:val="1"/>
                <w:szCs w:val="1"/>
                <w:color w:val="auto"/>
              </w:rPr>
            </w:pPr>
          </w:p>
        </w:tc>
      </w:tr>
      <w:tr>
        <w:trPr>
          <w:trHeight w:val="16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44,727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1,935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10,548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2,174</w:t>
            </w:r>
          </w:p>
        </w:tc>
        <w:tc>
          <w:tcPr>
            <w:tcW w:w="0" w:type="dxa"/>
            <w:vAlign w:val="bottom"/>
          </w:tcPr>
          <w:p>
            <w:pPr>
              <w:spacing w:after="0"/>
              <w:rPr>
                <w:sz w:val="1"/>
                <w:szCs w:val="1"/>
                <w:color w:val="auto"/>
              </w:rPr>
            </w:pPr>
          </w:p>
        </w:tc>
      </w:tr>
      <w:tr>
        <w:trPr>
          <w:trHeight w:val="142"/>
        </w:trPr>
        <w:tc>
          <w:tcPr>
            <w:tcW w:w="5200" w:type="dxa"/>
            <w:vAlign w:val="bottom"/>
          </w:tcPr>
          <w:p>
            <w:pPr>
              <w:ind w:left="20"/>
              <w:spacing w:after="0"/>
              <w:rPr>
                <w:sz w:val="20"/>
                <w:szCs w:val="20"/>
                <w:color w:val="auto"/>
              </w:rPr>
            </w:pPr>
            <w:r>
              <w:rPr>
                <w:rFonts w:ascii="Arial" w:cs="Arial" w:eastAsia="Arial" w:hAnsi="Arial"/>
                <w:sz w:val="11"/>
                <w:szCs w:val="11"/>
                <w:color w:val="auto"/>
              </w:rPr>
              <w:t>Agricultural land, production and other loans to farmers</w:t>
            </w:r>
          </w:p>
        </w:tc>
        <w:tc>
          <w:tcPr>
            <w:tcW w:w="16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240"/>
              <w:spacing w:after="0"/>
              <w:rPr>
                <w:sz w:val="20"/>
                <w:szCs w:val="20"/>
                <w:color w:val="auto"/>
              </w:rPr>
            </w:pPr>
            <w:r>
              <w:rPr>
                <w:rFonts w:ascii="Arial" w:cs="Arial" w:eastAsia="Arial" w:hAnsi="Arial"/>
                <w:sz w:val="11"/>
                <w:szCs w:val="11"/>
                <w:color w:val="auto"/>
              </w:rPr>
              <w:t>Construction</w:t>
            </w:r>
          </w:p>
        </w:tc>
        <w:tc>
          <w:tcPr>
            <w:tcW w:w="16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9,718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9,674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22,481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22,482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9,619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5200" w:type="dxa"/>
            <w:vAlign w:val="bottom"/>
          </w:tcPr>
          <w:p>
            <w:pPr>
              <w:ind w:left="240"/>
              <w:spacing w:after="0"/>
              <w:rPr>
                <w:sz w:val="20"/>
                <w:szCs w:val="20"/>
                <w:color w:val="auto"/>
              </w:rPr>
            </w:pPr>
            <w:r>
              <w:rPr>
                <w:rFonts w:ascii="Arial" w:cs="Arial" w:eastAsia="Arial" w:hAnsi="Arial"/>
                <w:sz w:val="11"/>
                <w:szCs w:val="11"/>
                <w:color w:val="auto"/>
              </w:rPr>
              <w:t>Commercial real estate, owner occupied</w:t>
            </w:r>
          </w:p>
        </w:tc>
        <w:tc>
          <w:tcPr>
            <w:tcW w:w="16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11,031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4,310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3,705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3,188</w:t>
            </w:r>
          </w:p>
        </w:tc>
        <w:tc>
          <w:tcPr>
            <w:tcW w:w="0" w:type="dxa"/>
            <w:vAlign w:val="bottom"/>
          </w:tcPr>
          <w:p>
            <w:pPr>
              <w:spacing w:after="0"/>
              <w:rPr>
                <w:sz w:val="1"/>
                <w:szCs w:val="1"/>
                <w:color w:val="auto"/>
              </w:rPr>
            </w:pPr>
          </w:p>
        </w:tc>
      </w:tr>
      <w:tr>
        <w:trPr>
          <w:trHeight w:val="152"/>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Residential</w:t>
            </w:r>
          </w:p>
        </w:tc>
        <w:tc>
          <w:tcPr>
            <w:tcW w:w="1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35,142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29,774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5200" w:type="dxa"/>
            <w:vAlign w:val="bottom"/>
          </w:tcPr>
          <w:p>
            <w:pPr>
              <w:ind w:left="240"/>
              <w:spacing w:after="0"/>
              <w:rPr>
                <w:sz w:val="20"/>
                <w:szCs w:val="20"/>
                <w:color w:val="auto"/>
              </w:rPr>
            </w:pPr>
            <w:r>
              <w:rPr>
                <w:rFonts w:ascii="Arial" w:cs="Arial" w:eastAsia="Arial" w:hAnsi="Arial"/>
                <w:sz w:val="11"/>
                <w:szCs w:val="11"/>
                <w:color w:val="auto"/>
              </w:rPr>
              <w:t>Home equity</w:t>
            </w:r>
          </w:p>
        </w:tc>
        <w:tc>
          <w:tcPr>
            <w:tcW w:w="16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6,865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4,158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5200" w:type="dxa"/>
            <w:vAlign w:val="bottom"/>
          </w:tcPr>
          <w:p>
            <w:pPr>
              <w:ind w:left="20"/>
              <w:spacing w:after="0"/>
              <w:rPr>
                <w:sz w:val="20"/>
                <w:szCs w:val="20"/>
                <w:color w:val="auto"/>
              </w:rPr>
            </w:pPr>
            <w:r>
              <w:rPr>
                <w:rFonts w:ascii="Arial" w:cs="Arial" w:eastAsia="Arial" w:hAnsi="Arial"/>
                <w:sz w:val="11"/>
                <w:szCs w:val="11"/>
                <w:color w:val="auto"/>
              </w:rPr>
              <w:t>Public finance and other commercial loans</w:t>
            </w:r>
          </w:p>
        </w:tc>
        <w:tc>
          <w:tcPr>
            <w:tcW w:w="16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520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Loans</w:t>
            </w: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117,415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16,060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71,773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27,844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right="220"/>
        <w:spacing w:after="0" w:line="285" w:lineRule="auto"/>
        <w:rPr>
          <w:sz w:val="20"/>
          <w:szCs w:val="20"/>
          <w:color w:val="auto"/>
        </w:rPr>
      </w:pPr>
      <w:r>
        <w:rPr>
          <w:rFonts w:ascii="Arial" w:cs="Arial" w:eastAsia="Arial" w:hAnsi="Arial"/>
          <w:sz w:val="14"/>
          <w:szCs w:val="14"/>
          <w:color w:val="auto"/>
        </w:rPr>
        <w:t>Interest income on nonaccrual loans is recognized only to the extent that cash payments are received in excess of principal due. There was no interest income recognized on nonaccrual loans for the three and nine months ended September 30, 2026 or 2025.</w:t>
      </w:r>
    </w:p>
    <w:p>
      <w:pPr>
        <w:spacing w:after="0" w:line="198"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Determining fair value for collateral dependent loans requires obtaining a current independent appraisal of the collateral and applying a discount factor, which includes selling costs, if applicable, to the value. The fair value of real estate is generally based on appraisals by qualified licensed appraisers. The appraisers typically determine the value of the real estate by utilizing an income or market valuation approach. If an appraisal is not available, the fair value may be determined by using a cash flow analysis. Fair value on other collateral such as business assets is typically ascertained by assessing, either singularly or some combination of, asset appraisals, accounts receivable aging reports, inventory listings, and/or customer financial statements. Both appraised values and values based on borrower’s financial information are discounted as considered appropriate based on the age and quality of the information and current market conditions.</w:t>
      </w:r>
    </w:p>
    <w:p>
      <w:pPr>
        <w:spacing w:after="0" w:line="212"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The tables below present the amortized cost basis of collateral dependent loans by loan class and their respective collateral type, which are individually evaluated to determine expected credit losses. The total collateral dependent loan balance increased $14.7 million from December 31, 2025, primarily related to increases of $18.1 million and $5.8 million in the commercial and industrial and commercial real estate, owner occupied loan classes, respectively. The increase was partially offset by a decrease of</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$12.5 million in the construction loan class. The total related allowance balance increased $7.5 million from December 31, 2025, primarily related to an increase of $7.3 million in the commercial and industrial loan class.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September 30, 2026</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5"/>
              </w:rPr>
              <w:t>Commercial Real Estate</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7"/>
              </w:rPr>
              <w:t>Residential Real Estate</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Business Assets and</w:t>
            </w:r>
          </w:p>
        </w:tc>
        <w:tc>
          <w:tcPr>
            <w:tcW w:w="340" w:type="dxa"/>
            <w:vAlign w:val="bottom"/>
          </w:tcPr>
          <w:p>
            <w:pPr>
              <w:spacing w:after="0"/>
              <w:rPr>
                <w:sz w:val="10"/>
                <w:szCs w:val="10"/>
                <w:color w:val="auto"/>
              </w:rPr>
            </w:pPr>
          </w:p>
        </w:tc>
        <w:tc>
          <w:tcPr>
            <w:tcW w:w="1060" w:type="dxa"/>
            <w:vAlign w:val="bottom"/>
            <w:vMerge w:val="restart"/>
          </w:tcPr>
          <w:p>
            <w:pPr>
              <w:jc w:val="right"/>
              <w:ind w:right="506"/>
              <w:spacing w:after="0"/>
              <w:rPr>
                <w:sz w:val="20"/>
                <w:szCs w:val="20"/>
                <w:color w:val="auto"/>
              </w:rPr>
            </w:pPr>
            <w:r>
              <w:rPr>
                <w:rFonts w:ascii="Arial" w:cs="Arial" w:eastAsia="Arial" w:hAnsi="Arial"/>
                <w:sz w:val="11"/>
                <w:szCs w:val="11"/>
                <w:b w:val="1"/>
                <w:bCs w:val="1"/>
                <w:color w:val="auto"/>
              </w:rPr>
              <w:t>Total</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w w:val="98"/>
              </w:rPr>
              <w:t>Allowance on Collateral</w:t>
            </w:r>
          </w:p>
        </w:tc>
        <w:tc>
          <w:tcPr>
            <w:tcW w:w="0" w:type="dxa"/>
            <w:vAlign w:val="bottom"/>
          </w:tcPr>
          <w:p>
            <w:pPr>
              <w:spacing w:after="0"/>
              <w:rPr>
                <w:sz w:val="1"/>
                <w:szCs w:val="1"/>
                <w:color w:val="auto"/>
              </w:rPr>
            </w:pPr>
          </w:p>
        </w:tc>
      </w:tr>
      <w:tr>
        <w:trPr>
          <w:trHeight w:val="155"/>
        </w:trPr>
        <w:tc>
          <w:tcPr>
            <w:tcW w:w="37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Dependent Loans</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56,147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56,147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20,453</w:t>
            </w:r>
          </w:p>
        </w:tc>
        <w:tc>
          <w:tcPr>
            <w:tcW w:w="0" w:type="dxa"/>
            <w:vAlign w:val="bottom"/>
          </w:tcPr>
          <w:p>
            <w:pPr>
              <w:spacing w:after="0"/>
              <w:rPr>
                <w:sz w:val="1"/>
                <w:szCs w:val="1"/>
                <w:color w:val="auto"/>
              </w:rPr>
            </w:pPr>
          </w:p>
        </w:tc>
      </w:tr>
      <w:tr>
        <w:trPr>
          <w:trHeight w:val="142"/>
        </w:trPr>
        <w:tc>
          <w:tcPr>
            <w:tcW w:w="3780" w:type="dxa"/>
            <w:vAlign w:val="bottom"/>
          </w:tcPr>
          <w:p>
            <w:pPr>
              <w:ind w:left="20"/>
              <w:spacing w:after="0"/>
              <w:rPr>
                <w:sz w:val="20"/>
                <w:szCs w:val="20"/>
                <w:color w:val="auto"/>
              </w:rPr>
            </w:pPr>
            <w:r>
              <w:rPr>
                <w:rFonts w:ascii="Arial" w:cs="Arial" w:eastAsia="Arial" w:hAnsi="Arial"/>
                <w:sz w:val="11"/>
                <w:szCs w:val="11"/>
                <w:color w:val="auto"/>
              </w:rPr>
              <w:t>Real estate loans: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Construction</w:t>
            </w:r>
          </w:p>
        </w:tc>
        <w:tc>
          <w:tcPr>
            <w:tcW w:w="10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9,959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9,959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186</w:t>
            </w:r>
          </w:p>
        </w:tc>
        <w:tc>
          <w:tcPr>
            <w:tcW w:w="0" w:type="dxa"/>
            <w:vAlign w:val="bottom"/>
          </w:tcPr>
          <w:p>
            <w:pPr>
              <w:spacing w:after="0"/>
              <w:rPr>
                <w:sz w:val="1"/>
                <w:szCs w:val="1"/>
                <w:color w:val="auto"/>
              </w:rPr>
            </w:pPr>
          </w:p>
        </w:tc>
      </w:tr>
      <w:tr>
        <w:trPr>
          <w:trHeight w:val="142"/>
        </w:trPr>
        <w:tc>
          <w:tcPr>
            <w:tcW w:w="3780" w:type="dxa"/>
            <w:vAlign w:val="bottom"/>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16,405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16,405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2,126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Commercial real estate, owner occupied</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11,342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1,291</w:t>
            </w:r>
          </w:p>
        </w:tc>
        <w:tc>
          <w:tcPr>
            <w:tcW w:w="0" w:type="dxa"/>
            <w:vAlign w:val="bottom"/>
          </w:tcPr>
          <w:p>
            <w:pPr>
              <w:spacing w:after="0"/>
              <w:rPr>
                <w:sz w:val="1"/>
                <w:szCs w:val="1"/>
                <w:color w:val="auto"/>
              </w:rPr>
            </w:pPr>
          </w:p>
        </w:tc>
      </w:tr>
      <w:tr>
        <w:trPr>
          <w:trHeight w:val="142"/>
        </w:trPr>
        <w:tc>
          <w:tcPr>
            <w:tcW w:w="3780" w:type="dxa"/>
            <w:vAlign w:val="bottom"/>
          </w:tcPr>
          <w:p>
            <w:pPr>
              <w:ind w:left="240"/>
              <w:spacing w:after="0"/>
              <w:rPr>
                <w:sz w:val="20"/>
                <w:szCs w:val="20"/>
                <w:color w:val="auto"/>
              </w:rPr>
            </w:pPr>
            <w:r>
              <w:rPr>
                <w:rFonts w:ascii="Arial" w:cs="Arial" w:eastAsia="Arial" w:hAnsi="Arial"/>
                <w:sz w:val="11"/>
                <w:szCs w:val="11"/>
                <w:color w:val="auto"/>
              </w:rPr>
              <w:t>Residential</w:t>
            </w:r>
          </w:p>
        </w:tc>
        <w:tc>
          <w:tcPr>
            <w:tcW w:w="100" w:type="dxa"/>
            <w:vAlign w:val="bottom"/>
          </w:tcPr>
          <w:p>
            <w:pPr>
              <w:spacing w:after="0"/>
              <w:rPr>
                <w:sz w:val="12"/>
                <w:szCs w:val="1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2,510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2,510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451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Home equity</w:t>
            </w:r>
          </w:p>
        </w:tc>
        <w:tc>
          <w:tcPr>
            <w:tcW w:w="1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691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286</w:t>
            </w:r>
          </w:p>
        </w:tc>
        <w:tc>
          <w:tcPr>
            <w:tcW w:w="0" w:type="dxa"/>
            <w:vAlign w:val="bottom"/>
          </w:tcPr>
          <w:p>
            <w:pPr>
              <w:spacing w:after="0"/>
              <w:rPr>
                <w:sz w:val="1"/>
                <w:szCs w:val="1"/>
                <w:color w:val="auto"/>
              </w:rPr>
            </w:pPr>
          </w:p>
        </w:tc>
      </w:tr>
      <w:tr>
        <w:trPr>
          <w:trHeight w:val="162"/>
        </w:trPr>
        <w:tc>
          <w:tcPr>
            <w:tcW w:w="3780" w:type="dxa"/>
            <w:vAlign w:val="bottom"/>
            <w:tcBorders>
              <w:top w:val="single" w:sz="8" w:color="CCEEFF"/>
            </w:tcBorders>
          </w:tcPr>
          <w:p>
            <w:pPr>
              <w:ind w:left="800"/>
              <w:spacing w:after="0"/>
              <w:rPr>
                <w:sz w:val="20"/>
                <w:szCs w:val="20"/>
                <w:color w:val="auto"/>
              </w:rPr>
            </w:pPr>
            <w:r>
              <w:rPr>
                <w:rFonts w:ascii="Arial" w:cs="Arial" w:eastAsia="Arial" w:hAnsi="Arial"/>
                <w:sz w:val="11"/>
                <w:szCs w:val="11"/>
                <w:color w:val="auto"/>
              </w:rPr>
              <w:t>Loans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27,747</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13,160</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56,147</w:t>
            </w: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97,054</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24,793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December 31, 2025</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5"/>
              </w:rPr>
              <w:t>Commercial Real Estate</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7"/>
              </w:rPr>
              <w:t>Residential Real Estate</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Business Assets and</w:t>
            </w:r>
          </w:p>
        </w:tc>
        <w:tc>
          <w:tcPr>
            <w:tcW w:w="340" w:type="dxa"/>
            <w:vAlign w:val="bottom"/>
          </w:tcPr>
          <w:p>
            <w:pPr>
              <w:spacing w:after="0"/>
              <w:rPr>
                <w:sz w:val="10"/>
                <w:szCs w:val="10"/>
                <w:color w:val="auto"/>
              </w:rPr>
            </w:pPr>
          </w:p>
        </w:tc>
        <w:tc>
          <w:tcPr>
            <w:tcW w:w="1060" w:type="dxa"/>
            <w:vAlign w:val="bottom"/>
            <w:vMerge w:val="restart"/>
          </w:tcPr>
          <w:p>
            <w:pPr>
              <w:jc w:val="right"/>
              <w:ind w:right="506"/>
              <w:spacing w:after="0"/>
              <w:rPr>
                <w:sz w:val="20"/>
                <w:szCs w:val="20"/>
                <w:color w:val="auto"/>
              </w:rPr>
            </w:pPr>
            <w:r>
              <w:rPr>
                <w:rFonts w:ascii="Arial" w:cs="Arial" w:eastAsia="Arial" w:hAnsi="Arial"/>
                <w:sz w:val="11"/>
                <w:szCs w:val="11"/>
                <w:b w:val="1"/>
                <w:bCs w:val="1"/>
                <w:color w:val="auto"/>
              </w:rPr>
              <w:t>Total</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96"/>
              </w:rPr>
              <w:t>Allowance on Collateral</w:t>
            </w:r>
          </w:p>
        </w:tc>
        <w:tc>
          <w:tcPr>
            <w:tcW w:w="0" w:type="dxa"/>
            <w:vAlign w:val="bottom"/>
          </w:tcPr>
          <w:p>
            <w:pPr>
              <w:spacing w:after="0"/>
              <w:rPr>
                <w:sz w:val="1"/>
                <w:szCs w:val="1"/>
                <w:color w:val="auto"/>
              </w:rPr>
            </w:pPr>
          </w:p>
        </w:tc>
      </w:tr>
      <w:tr>
        <w:trPr>
          <w:trHeight w:val="155"/>
        </w:trPr>
        <w:tc>
          <w:tcPr>
            <w:tcW w:w="37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Dependent Loans</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38,063</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38,063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13,157</w:t>
            </w:r>
          </w:p>
        </w:tc>
        <w:tc>
          <w:tcPr>
            <w:tcW w:w="0" w:type="dxa"/>
            <w:vAlign w:val="bottom"/>
          </w:tcPr>
          <w:p>
            <w:pPr>
              <w:spacing w:after="0"/>
              <w:rPr>
                <w:sz w:val="1"/>
                <w:szCs w:val="1"/>
                <w:color w:val="auto"/>
              </w:rPr>
            </w:pPr>
          </w:p>
        </w:tc>
      </w:tr>
      <w:tr>
        <w:trPr>
          <w:trHeight w:val="142"/>
        </w:trPr>
        <w:tc>
          <w:tcPr>
            <w:tcW w:w="3780" w:type="dxa"/>
            <w:vAlign w:val="bottom"/>
          </w:tcPr>
          <w:p>
            <w:pPr>
              <w:ind w:left="20"/>
              <w:spacing w:after="0"/>
              <w:rPr>
                <w:sz w:val="20"/>
                <w:szCs w:val="20"/>
                <w:color w:val="auto"/>
              </w:rPr>
            </w:pPr>
            <w:r>
              <w:rPr>
                <w:rFonts w:ascii="Arial" w:cs="Arial" w:eastAsia="Arial" w:hAnsi="Arial"/>
                <w:sz w:val="11"/>
                <w:szCs w:val="11"/>
                <w:color w:val="auto"/>
              </w:rPr>
              <w:t>Real estate loans: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Construction</w:t>
            </w:r>
          </w:p>
        </w:tc>
        <w:tc>
          <w:tcPr>
            <w:tcW w:w="10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22,482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22,482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780" w:type="dxa"/>
            <w:vAlign w:val="bottom"/>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10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15,161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15,161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3,938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Commercial real estate, owner occupied</w:t>
            </w:r>
          </w:p>
        </w:tc>
        <w:tc>
          <w:tcPr>
            <w:tcW w:w="10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5,511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5,511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780" w:type="dxa"/>
            <w:vAlign w:val="bottom"/>
          </w:tcPr>
          <w:p>
            <w:pPr>
              <w:ind w:left="240"/>
              <w:spacing w:after="0"/>
              <w:rPr>
                <w:sz w:val="20"/>
                <w:szCs w:val="20"/>
                <w:color w:val="auto"/>
              </w:rPr>
            </w:pPr>
            <w:r>
              <w:rPr>
                <w:rFonts w:ascii="Arial" w:cs="Arial" w:eastAsia="Arial" w:hAnsi="Arial"/>
                <w:sz w:val="11"/>
                <w:szCs w:val="11"/>
                <w:color w:val="auto"/>
              </w:rPr>
              <w:t>Residential</w:t>
            </w:r>
          </w:p>
        </w:tc>
        <w:tc>
          <w:tcPr>
            <w:tcW w:w="100" w:type="dxa"/>
            <w:vAlign w:val="bottom"/>
          </w:tcPr>
          <w:p>
            <w:pPr>
              <w:spacing w:after="0"/>
              <w:rPr>
                <w:sz w:val="12"/>
                <w:szCs w:val="1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Home equity</w:t>
            </w:r>
          </w:p>
        </w:tc>
        <w:tc>
          <w:tcPr>
            <w:tcW w:w="1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2"/>
        </w:trPr>
        <w:tc>
          <w:tcPr>
            <w:tcW w:w="3780" w:type="dxa"/>
            <w:vAlign w:val="bottom"/>
            <w:tcBorders>
              <w:top w:val="single" w:sz="8" w:color="CCEEFF"/>
            </w:tcBorders>
          </w:tcPr>
          <w:p>
            <w:pPr>
              <w:ind w:left="800"/>
              <w:spacing w:after="0"/>
              <w:rPr>
                <w:sz w:val="20"/>
                <w:szCs w:val="20"/>
                <w:color w:val="auto"/>
              </w:rPr>
            </w:pPr>
            <w:r>
              <w:rPr>
                <w:rFonts w:ascii="Arial" w:cs="Arial" w:eastAsia="Arial" w:hAnsi="Arial"/>
                <w:sz w:val="11"/>
                <w:szCs w:val="11"/>
                <w:color w:val="auto"/>
              </w:rPr>
              <w:t>Loans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20,672</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23,650</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38,063</w:t>
            </w: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82,385</w:t>
            </w: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17,280</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In certain situations, the Corporation may modify the terms of a loan to a debtor experiencing financial difficulty. The modifications may include principal forgiveness, interest rate reductions, payment delays, term extensions or combinations of these modifications. The following tables present the amortized cost basis of loans at September 30, 2026 and 2025 that were both experiencing financial difficulty and modified during the three and nine months ended September 30, 2026 and 2025, by class and by type of modification. For the three and nine months ended September 30, 2026 and 2025, the tables below exclude loan modifications considered insignificant. The percentage of the amortized cost basis of loans that were modified to borrowers in financial distress as compared to the amortized cost basis of each class of financing receivable is also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5"/>
          </w:tcPr>
          <w:p>
            <w:pPr>
              <w:jc w:val="right"/>
              <w:ind w:right="66"/>
              <w:spacing w:after="0"/>
              <w:rPr>
                <w:sz w:val="20"/>
                <w:szCs w:val="20"/>
                <w:color w:val="auto"/>
              </w:rPr>
            </w:pPr>
            <w:r>
              <w:rPr>
                <w:rFonts w:ascii="Arial" w:cs="Arial" w:eastAsia="Arial" w:hAnsi="Arial"/>
                <w:sz w:val="11"/>
                <w:szCs w:val="11"/>
                <w:b w:val="1"/>
                <w:bCs w:val="1"/>
                <w:color w:val="auto"/>
              </w:rPr>
              <w:t>Three Months Ended September 30, 2026</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9"/>
          </w:tcPr>
          <w:p>
            <w:pPr>
              <w:jc w:val="right"/>
              <w:ind w:right="966"/>
              <w:spacing w:after="0"/>
              <w:rPr>
                <w:sz w:val="20"/>
                <w:szCs w:val="20"/>
                <w:color w:val="auto"/>
              </w:rPr>
            </w:pPr>
            <w:r>
              <w:rPr>
                <w:rFonts w:ascii="Arial" w:cs="Arial" w:eastAsia="Arial" w:hAnsi="Arial"/>
                <w:sz w:val="11"/>
                <w:szCs w:val="11"/>
                <w:b w:val="1"/>
                <w:bCs w:val="1"/>
                <w:color w:val="auto"/>
              </w:rPr>
              <w:t>Loan Modifications Made to Borrowers Experiencing Financial Difficulty</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98"/>
              </w:rPr>
              <w:t>Combination Interest</w:t>
            </w: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Interest Rate</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6"/>
              </w:rPr>
              <w:t>Rate Reduction, Term</w:t>
            </w:r>
          </w:p>
        </w:tc>
        <w:tc>
          <w:tcPr>
            <w:tcW w:w="100" w:type="dxa"/>
            <w:vAlign w:val="bottom"/>
          </w:tcPr>
          <w:p>
            <w:pPr>
              <w:spacing w:after="0"/>
              <w:rPr>
                <w:sz w:val="9"/>
                <w:szCs w:val="9"/>
                <w:color w:val="auto"/>
              </w:rPr>
            </w:pPr>
          </w:p>
        </w:tc>
        <w:tc>
          <w:tcPr>
            <w:tcW w:w="15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9"/>
              </w:rPr>
              <w:t>% of Total Class of Financing</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Term Extension</w:t>
            </w:r>
          </w:p>
        </w:tc>
        <w:tc>
          <w:tcPr>
            <w:tcW w:w="100" w:type="dxa"/>
            <w:vAlign w:val="bottom"/>
            <w:vMerge w:val="restart"/>
          </w:tcPr>
          <w:p>
            <w:pPr>
              <w:spacing w:after="0"/>
              <w:rPr>
                <w:sz w:val="9"/>
                <w:szCs w:val="9"/>
                <w:color w:val="auto"/>
              </w:rPr>
            </w:pPr>
          </w:p>
        </w:tc>
        <w:tc>
          <w:tcPr>
            <w:tcW w:w="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7"/>
              </w:rPr>
              <w:t>Extension &amp; Payment</w:t>
            </w:r>
          </w:p>
        </w:tc>
        <w:tc>
          <w:tcPr>
            <w:tcW w:w="1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5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Reduction</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rPr>
              <w:t>Delay</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Receivable</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7,676</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806"/>
              <w:spacing w:after="0"/>
              <w:rPr>
                <w:sz w:val="20"/>
                <w:szCs w:val="20"/>
                <w:color w:val="auto"/>
              </w:rPr>
            </w:pPr>
            <w:r>
              <w:rPr>
                <w:rFonts w:ascii="Arial" w:cs="Arial" w:eastAsia="Arial" w:hAnsi="Arial"/>
                <w:sz w:val="11"/>
                <w:szCs w:val="11"/>
                <w:color w:val="auto"/>
                <w:w w:val="97"/>
              </w:rPr>
              <w:t>$</w:t>
            </w:r>
          </w:p>
        </w:tc>
        <w:tc>
          <w:tcPr>
            <w:tcW w:w="2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6"/>
              </w:rPr>
              <w:t>630</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0.18 %</w:t>
            </w:r>
          </w:p>
        </w:tc>
        <w:tc>
          <w:tcPr>
            <w:tcW w:w="0" w:type="dxa"/>
            <w:vAlign w:val="bottom"/>
          </w:tcPr>
          <w:p>
            <w:pPr>
              <w:spacing w:after="0"/>
              <w:rPr>
                <w:sz w:val="1"/>
                <w:szCs w:val="1"/>
                <w:color w:val="auto"/>
              </w:rPr>
            </w:pPr>
          </w:p>
        </w:tc>
      </w:tr>
      <w:tr>
        <w:trPr>
          <w:trHeight w:val="142"/>
        </w:trPr>
        <w:tc>
          <w:tcPr>
            <w:tcW w:w="5520" w:type="dxa"/>
            <w:vAlign w:val="bottom"/>
          </w:tcPr>
          <w:p>
            <w:pPr>
              <w:ind w:left="20"/>
              <w:spacing w:after="0"/>
              <w:rPr>
                <w:sz w:val="20"/>
                <w:szCs w:val="20"/>
                <w:color w:val="auto"/>
              </w:rPr>
            </w:pPr>
            <w:r>
              <w:rPr>
                <w:rFonts w:ascii="Arial" w:cs="Arial" w:eastAsia="Arial" w:hAnsi="Arial"/>
                <w:sz w:val="11"/>
                <w:szCs w:val="11"/>
                <w:color w:val="auto"/>
              </w:rPr>
              <w:t>Real estate loans:</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3,082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0.10 %</w:t>
            </w:r>
          </w:p>
        </w:tc>
        <w:tc>
          <w:tcPr>
            <w:tcW w:w="0" w:type="dxa"/>
            <w:vAlign w:val="bottom"/>
          </w:tcPr>
          <w:p>
            <w:pPr>
              <w:spacing w:after="0"/>
              <w:rPr>
                <w:sz w:val="1"/>
                <w:szCs w:val="1"/>
                <w:color w:val="auto"/>
              </w:rPr>
            </w:pPr>
          </w:p>
        </w:tc>
      </w:tr>
      <w:tr>
        <w:trPr>
          <w:trHeight w:val="142"/>
        </w:trPr>
        <w:tc>
          <w:tcPr>
            <w:tcW w:w="5520" w:type="dxa"/>
            <w:vAlign w:val="bottom"/>
          </w:tcPr>
          <w:p>
            <w:pPr>
              <w:ind w:left="240"/>
              <w:spacing w:after="0"/>
              <w:rPr>
                <w:sz w:val="20"/>
                <w:szCs w:val="20"/>
                <w:color w:val="auto"/>
              </w:rPr>
            </w:pPr>
            <w:r>
              <w:rPr>
                <w:rFonts w:ascii="Arial" w:cs="Arial" w:eastAsia="Arial" w:hAnsi="Arial"/>
                <w:sz w:val="11"/>
                <w:szCs w:val="11"/>
                <w:color w:val="auto"/>
              </w:rPr>
              <w:t>Commercial real estate, owner occupied</w:t>
            </w:r>
          </w:p>
        </w:tc>
        <w:tc>
          <w:tcPr>
            <w:tcW w:w="20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1,260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80" w:type="dxa"/>
            <w:vAlign w:val="bottom"/>
            <w:gridSpan w:val="2"/>
          </w:tcPr>
          <w:p>
            <w:pPr>
              <w:jc w:val="right"/>
              <w:spacing w:after="0"/>
              <w:rPr>
                <w:sz w:val="20"/>
                <w:szCs w:val="20"/>
                <w:color w:val="auto"/>
              </w:rPr>
            </w:pPr>
            <w:r>
              <w:rPr>
                <w:rFonts w:ascii="Arial" w:cs="Arial" w:eastAsia="Arial" w:hAnsi="Arial"/>
                <w:sz w:val="11"/>
                <w:szCs w:val="11"/>
                <w:color w:val="auto"/>
              </w:rPr>
              <w:t>0.09 %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Residential</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0.01 %</w:t>
            </w:r>
          </w:p>
        </w:tc>
        <w:tc>
          <w:tcPr>
            <w:tcW w:w="0" w:type="dxa"/>
            <w:vAlign w:val="bottom"/>
          </w:tcPr>
          <w:p>
            <w:pPr>
              <w:spacing w:after="0"/>
              <w:rPr>
                <w:sz w:val="1"/>
                <w:szCs w:val="1"/>
                <w:color w:val="auto"/>
              </w:rPr>
            </w:pPr>
          </w:p>
        </w:tc>
      </w:tr>
      <w:tr>
        <w:trPr>
          <w:trHeight w:val="162"/>
        </w:trPr>
        <w:tc>
          <w:tcPr>
            <w:tcW w:w="552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Total</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12,018</w:t>
            </w:r>
          </w:p>
        </w:tc>
        <w:tc>
          <w:tcPr>
            <w:tcW w:w="100" w:type="dxa"/>
            <w:vAlign w:val="bottom"/>
            <w:tcBorders>
              <w:top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806"/>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6"/>
              </w:rPr>
              <w:t>630</w:t>
            </w: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291</w:t>
            </w:r>
          </w:p>
        </w:tc>
        <w:tc>
          <w:tcPr>
            <w:tcW w:w="100" w:type="dxa"/>
            <w:vAlign w:val="bottom"/>
            <w:tcBorders>
              <w:top w:val="single" w:sz="8" w:color="CCEEFF"/>
            </w:tcBorders>
          </w:tcPr>
          <w:p>
            <w:pPr>
              <w:spacing w:after="0"/>
              <w:rPr>
                <w:sz w:val="14"/>
                <w:szCs w:val="14"/>
                <w:color w:val="auto"/>
              </w:rPr>
            </w:pPr>
          </w:p>
        </w:tc>
        <w:tc>
          <w:tcPr>
            <w:tcW w:w="15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6060"/>
        <w:spacing w:after="0"/>
        <w:rPr>
          <w:sz w:val="20"/>
          <w:szCs w:val="20"/>
          <w:color w:val="auto"/>
        </w:rPr>
      </w:pPr>
      <w:r>
        <w:rPr>
          <w:rFonts w:ascii="Arial" w:cs="Arial" w:eastAsia="Arial" w:hAnsi="Arial"/>
          <w:sz w:val="11"/>
          <w:szCs w:val="11"/>
          <w:b w:val="1"/>
          <w:bCs w:val="1"/>
          <w:color w:val="auto"/>
        </w:rPr>
        <w:t>Three Months Ended September 30, 2025</w:t>
      </w:r>
    </w:p>
    <w:p>
      <w:pPr>
        <w:spacing w:after="0" w:line="36" w:lineRule="exact"/>
        <w:rPr>
          <w:sz w:val="20"/>
          <w:szCs w:val="20"/>
          <w:color w:val="auto"/>
        </w:rPr>
      </w:pPr>
    </w:p>
    <w:p>
      <w:pPr>
        <w:jc w:val="center"/>
        <w:ind w:left="6060"/>
        <w:spacing w:after="0"/>
        <w:rPr>
          <w:sz w:val="20"/>
          <w:szCs w:val="20"/>
          <w:color w:val="auto"/>
        </w:rPr>
      </w:pPr>
      <w:r>
        <w:rPr>
          <w:rFonts w:ascii="Arial" w:cs="Arial" w:eastAsia="Arial" w:hAnsi="Arial"/>
          <w:sz w:val="11"/>
          <w:szCs w:val="11"/>
          <w:b w:val="1"/>
          <w:bCs w:val="1"/>
          <w:color w:val="auto"/>
        </w:rPr>
        <w:t>Loan Modifications Made to Borrowers Experiencing Financial Difficulty</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Commercial and industrial loans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Real estate loans: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0"/>
          <w:szCs w:val="10"/>
          <w:color w:val="auto"/>
        </w:rPr>
        <w:t>Commercial real estate, non-owner occupied</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1"/>
          <w:szCs w:val="11"/>
          <w:color w:val="auto"/>
        </w:rPr>
        <w:t>Residential</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1100" w:type="dxa"/>
        <w:tblCellMar>
          <w:top w:w="0" w:type="dxa"/>
          <w:left w:w="0" w:type="dxa"/>
          <w:bottom w:w="0" w:type="dxa"/>
          <w:right w:w="0" w:type="dxa"/>
        </w:tblCellMar>
      </w:tblPr>
      <w:tr>
        <w:trPr>
          <w:trHeight w:val="116"/>
        </w:trPr>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spacing w:after="0" w:line="116" w:lineRule="exact"/>
              <w:rPr>
                <w:sz w:val="20"/>
                <w:szCs w:val="20"/>
                <w:color w:val="auto"/>
              </w:rPr>
            </w:pPr>
            <w:r>
              <w:rPr>
                <w:rFonts w:ascii="Arial" w:cs="Arial" w:eastAsia="Arial" w:hAnsi="Arial"/>
                <w:sz w:val="11"/>
                <w:szCs w:val="11"/>
                <w:b w:val="1"/>
                <w:bCs w:val="1"/>
                <w:color w:val="auto"/>
                <w:w w:val="98"/>
              </w:rPr>
              <w:t>Combination Interest</w:t>
            </w: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vMerge w:val="restart"/>
          </w:tcPr>
          <w:p>
            <w:pPr>
              <w:jc w:val="right"/>
              <w:ind w:right="106"/>
              <w:spacing w:after="0"/>
              <w:rPr>
                <w:sz w:val="20"/>
                <w:szCs w:val="20"/>
                <w:color w:val="auto"/>
              </w:rPr>
            </w:pPr>
            <w:r>
              <w:rPr>
                <w:rFonts w:ascii="Arial" w:cs="Arial" w:eastAsia="Arial" w:hAnsi="Arial"/>
                <w:sz w:val="11"/>
                <w:szCs w:val="11"/>
                <w:b w:val="1"/>
                <w:bCs w:val="1"/>
                <w:color w:val="auto"/>
              </w:rPr>
              <w:t>% of Total Class of</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104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Payment Delay</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Term Extension</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8"/>
              </w:rPr>
              <w:t>Rate Reduction &amp;</w:t>
            </w:r>
          </w:p>
        </w:tc>
        <w:tc>
          <w:tcPr>
            <w:tcW w:w="1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6"/>
              </w:rPr>
              <w:t>Term Extension</w:t>
            </w:r>
          </w:p>
        </w:tc>
        <w:tc>
          <w:tcPr>
            <w:tcW w:w="120" w:type="dxa"/>
            <w:vAlign w:val="bottom"/>
          </w:tcPr>
          <w:p>
            <w:pPr>
              <w:spacing w:after="0"/>
              <w:rPr>
                <w:sz w:val="13"/>
                <w:szCs w:val="13"/>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Financing Receivable</w:t>
            </w:r>
          </w:p>
        </w:tc>
        <w:tc>
          <w:tcPr>
            <w:tcW w:w="0" w:type="dxa"/>
            <w:vAlign w:val="bottom"/>
          </w:tcPr>
          <w:p>
            <w:pPr>
              <w:spacing w:after="0"/>
              <w:rPr>
                <w:sz w:val="1"/>
                <w:szCs w:val="1"/>
                <w:color w:val="auto"/>
              </w:rPr>
            </w:pPr>
          </w:p>
        </w:tc>
      </w:tr>
      <w:tr>
        <w:trPr>
          <w:trHeight w:val="142"/>
        </w:trPr>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6,154</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spacing w:after="0"/>
              <w:rPr>
                <w:sz w:val="20"/>
                <w:szCs w:val="20"/>
                <w:color w:val="auto"/>
              </w:rPr>
            </w:pPr>
            <w:r>
              <w:rPr>
                <w:rFonts w:ascii="Arial" w:cs="Arial" w:eastAsia="Arial" w:hAnsi="Arial"/>
                <w:sz w:val="11"/>
                <w:szCs w:val="11"/>
                <w:color w:val="auto"/>
              </w:rPr>
              <w:t>0.13 %</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1,570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6,426</w:t>
            </w:r>
          </w:p>
        </w:tc>
        <w:tc>
          <w:tcPr>
            <w:tcW w:w="1400" w:type="dxa"/>
            <w:vAlign w:val="bottom"/>
            <w:gridSpan w:val="2"/>
          </w:tcPr>
          <w:p>
            <w:pPr>
              <w:jc w:val="right"/>
              <w:spacing w:after="0"/>
              <w:rPr>
                <w:sz w:val="20"/>
                <w:szCs w:val="20"/>
                <w:color w:val="auto"/>
              </w:rPr>
            </w:pPr>
            <w:r>
              <w:rPr>
                <w:rFonts w:ascii="Arial" w:cs="Arial" w:eastAsia="Arial" w:hAnsi="Arial"/>
                <w:sz w:val="11"/>
                <w:szCs w:val="11"/>
                <w:color w:val="auto"/>
              </w:rPr>
              <w:t>0.35 %</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261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spacing w:after="0"/>
              <w:rPr>
                <w:sz w:val="20"/>
                <w:szCs w:val="20"/>
                <w:color w:val="auto"/>
              </w:rPr>
            </w:pPr>
            <w:r>
              <w:rPr>
                <w:rFonts w:ascii="Arial" w:cs="Arial" w:eastAsia="Arial" w:hAnsi="Arial"/>
                <w:sz w:val="11"/>
                <w:szCs w:val="11"/>
                <w:color w:val="auto"/>
              </w:rPr>
              <w:t>0.01 %</w:t>
            </w:r>
          </w:p>
        </w:tc>
        <w:tc>
          <w:tcPr>
            <w:tcW w:w="0" w:type="dxa"/>
            <w:vAlign w:val="bottom"/>
          </w:tcPr>
          <w:p>
            <w:pPr>
              <w:spacing w:after="0"/>
              <w:rPr>
                <w:sz w:val="1"/>
                <w:szCs w:val="1"/>
                <w:color w:val="auto"/>
              </w:rPr>
            </w:pPr>
          </w:p>
        </w:tc>
      </w:tr>
      <w:tr>
        <w:trPr>
          <w:trHeight w:val="155"/>
        </w:trPr>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261</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7,724</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6,426</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-565150</wp:posOffset>
            </wp:positionV>
            <wp:extent cx="7132320"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-350520</wp:posOffset>
            </wp:positionV>
            <wp:extent cx="71323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-144780</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2560"/>
        <w:spacing w:after="0"/>
        <w:rPr>
          <w:sz w:val="20"/>
          <w:szCs w:val="20"/>
          <w:color w:val="auto"/>
        </w:rPr>
      </w:pPr>
      <w:r>
        <w:rPr>
          <w:rFonts w:ascii="Arial" w:cs="Arial" w:eastAsia="Arial" w:hAnsi="Arial"/>
          <w:sz w:val="11"/>
          <w:szCs w:val="11"/>
          <w:b w:val="1"/>
          <w:bCs w:val="1"/>
          <w:color w:val="auto"/>
        </w:rPr>
        <w:t>Nine Months Ended September 30, 2026</w:t>
      </w:r>
    </w:p>
    <w:p>
      <w:pPr>
        <w:spacing w:after="0" w:line="36" w:lineRule="exact"/>
        <w:rPr>
          <w:sz w:val="20"/>
          <w:szCs w:val="20"/>
          <w:color w:val="auto"/>
        </w:rPr>
      </w:pPr>
    </w:p>
    <w:p>
      <w:pPr>
        <w:jc w:val="center"/>
        <w:ind w:right="2560"/>
        <w:spacing w:after="0"/>
        <w:rPr>
          <w:sz w:val="20"/>
          <w:szCs w:val="20"/>
          <w:color w:val="auto"/>
        </w:rPr>
      </w:pPr>
      <w:r>
        <w:rPr>
          <w:rFonts w:ascii="Arial" w:cs="Arial" w:eastAsia="Arial" w:hAnsi="Arial"/>
          <w:sz w:val="10"/>
          <w:szCs w:val="10"/>
          <w:b w:val="1"/>
          <w:bCs w:val="1"/>
          <w:color w:val="auto"/>
        </w:rPr>
        <w:t>Loan Modifications Made to Borrowers Experiencing Financial Difficulty</w:t>
      </w:r>
    </w:p>
    <w:p>
      <w:pPr>
        <w:spacing w:after="0" w:line="33" w:lineRule="exact"/>
        <w:rPr>
          <w:sz w:val="20"/>
          <w:szCs w:val="20"/>
          <w:color w:val="auto"/>
        </w:rPr>
      </w:pPr>
    </w:p>
    <w:p>
      <w:pPr>
        <w:sectPr>
          <w:pgSz w:w="11900" w:h="16838" w:orient="portrait"/>
          <w:cols w:equalWidth="0" w:num="2">
            <w:col w:w="4260" w:space="720"/>
            <w:col w:w="6260"/>
          </w:cols>
          <w:pgMar w:left="320" w:top="354" w:right="339" w:bottom="1440" w:gutter="0" w:footer="0" w:header="0"/>
          <w:type w:val="continuous"/>
        </w:sectPr>
      </w:pPr>
    </w:p>
    <w:tbl>
      <w:tblPr>
        <w:tblLayout w:type="fixed"/>
        <w:tblInd w:w="0" w:type="dxa"/>
        <w:tblCellMar>
          <w:top w:w="0" w:type="dxa"/>
          <w:left w:w="0" w:type="dxa"/>
          <w:bottom w:w="0" w:type="dxa"/>
          <w:right w:w="0" w:type="dxa"/>
        </w:tblCellMar>
      </w:tblPr>
      <w:tr>
        <w:trPr>
          <w:trHeight w:val="116"/>
        </w:trPr>
        <w:tc>
          <w:tcPr>
            <w:tcW w:w="2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8"/>
              </w:rPr>
              <w:t>Combination</w:t>
            </w:r>
          </w:p>
        </w:tc>
        <w:tc>
          <w:tcPr>
            <w:tcW w:w="128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8"/>
              </w:rPr>
              <w:t>Combination Interest</w:t>
            </w:r>
          </w:p>
        </w:tc>
        <w:tc>
          <w:tcPr>
            <w:tcW w:w="1180" w:type="dxa"/>
            <w:vAlign w:val="bottom"/>
            <w:tcBorders>
              <w:top w:val="single" w:sz="8" w:color="auto"/>
            </w:tcBorders>
            <w:gridSpan w:val="2"/>
          </w:tcPr>
          <w:p>
            <w:pPr>
              <w:jc w:val="right"/>
              <w:ind w:right="6"/>
              <w:spacing w:after="0" w:line="116" w:lineRule="exact"/>
              <w:rPr>
                <w:sz w:val="20"/>
                <w:szCs w:val="20"/>
                <w:color w:val="auto"/>
              </w:rPr>
            </w:pPr>
            <w:r>
              <w:rPr>
                <w:rFonts w:ascii="Arial" w:cs="Arial" w:eastAsia="Arial" w:hAnsi="Arial"/>
                <w:sz w:val="11"/>
                <w:szCs w:val="11"/>
                <w:b w:val="1"/>
                <w:bCs w:val="1"/>
                <w:color w:val="auto"/>
                <w:w w:val="99"/>
              </w:rPr>
              <w:t>Combination Interest</w:t>
            </w: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Interest Rate</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8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w w:val="98"/>
              </w:rPr>
              <w:t>Rate Reduction, Term</w:t>
            </w:r>
          </w:p>
        </w:tc>
        <w:tc>
          <w:tcPr>
            <w:tcW w:w="100" w:type="dxa"/>
            <w:vAlign w:val="bottom"/>
          </w:tcPr>
          <w:p>
            <w:pPr>
              <w:spacing w:after="0"/>
              <w:rPr>
                <w:sz w:val="9"/>
                <w:szCs w:val="9"/>
                <w:color w:val="auto"/>
              </w:rPr>
            </w:pPr>
          </w:p>
        </w:tc>
        <w:tc>
          <w:tcPr>
            <w:tcW w:w="12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 of Total Class of</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Payment Delay</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Term Extension</w:t>
            </w:r>
          </w:p>
        </w:tc>
        <w:tc>
          <w:tcPr>
            <w:tcW w:w="100" w:type="dxa"/>
            <w:vAlign w:val="bottom"/>
            <w:vMerge w:val="restart"/>
          </w:tcPr>
          <w:p>
            <w:pPr>
              <w:spacing w:after="0"/>
              <w:rPr>
                <w:sz w:val="9"/>
                <w:szCs w:val="9"/>
                <w:color w:val="auto"/>
              </w:rPr>
            </w:pPr>
          </w:p>
        </w:tc>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6"/>
              </w:rPr>
              <w:t>Payment Delay &amp;</w:t>
            </w: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Rate Reduction &amp;</w:t>
            </w:r>
          </w:p>
        </w:tc>
        <w:tc>
          <w:tcPr>
            <w:tcW w:w="118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w w:val="99"/>
              </w:rPr>
              <w:t>Extension &amp; Payment</w:t>
            </w: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Reduction</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6"/>
              </w:rPr>
              <w:t>Term Extension</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6"/>
              </w:rPr>
              <w:t>Term Extension</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Delay</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Financing Receivable</w:t>
            </w: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7,217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13,903</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630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14,540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0.79 %</w:t>
            </w:r>
          </w:p>
        </w:tc>
        <w:tc>
          <w:tcPr>
            <w:tcW w:w="0" w:type="dxa"/>
            <w:vAlign w:val="bottom"/>
          </w:tcPr>
          <w:p>
            <w:pPr>
              <w:spacing w:after="0"/>
              <w:rPr>
                <w:sz w:val="1"/>
                <w:szCs w:val="1"/>
                <w:color w:val="auto"/>
              </w:rPr>
            </w:pPr>
          </w:p>
        </w:tc>
      </w:tr>
      <w:tr>
        <w:trPr>
          <w:trHeight w:val="142"/>
        </w:trPr>
        <w:tc>
          <w:tcPr>
            <w:tcW w:w="2420" w:type="dxa"/>
            <w:vAlign w:val="bottom"/>
          </w:tcPr>
          <w:p>
            <w:pPr>
              <w:ind w:left="20"/>
              <w:spacing w:after="0"/>
              <w:rPr>
                <w:sz w:val="20"/>
                <w:szCs w:val="20"/>
                <w:color w:val="auto"/>
              </w:rPr>
            </w:pPr>
            <w:r>
              <w:rPr>
                <w:rFonts w:ascii="Arial" w:cs="Arial" w:eastAsia="Arial" w:hAnsi="Arial"/>
                <w:sz w:val="11"/>
                <w:szCs w:val="11"/>
                <w:color w:val="auto"/>
              </w:rPr>
              <w:t>Real estate loans: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Construction</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1,643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0.17 %</w:t>
            </w:r>
          </w:p>
        </w:tc>
        <w:tc>
          <w:tcPr>
            <w:tcW w:w="0" w:type="dxa"/>
            <w:vAlign w:val="bottom"/>
          </w:tcPr>
          <w:p>
            <w:pPr>
              <w:spacing w:after="0"/>
              <w:rPr>
                <w:sz w:val="1"/>
                <w:szCs w:val="1"/>
                <w:color w:val="auto"/>
              </w:rPr>
            </w:pPr>
          </w:p>
        </w:tc>
      </w:tr>
      <w:tr>
        <w:trPr>
          <w:trHeight w:val="152"/>
        </w:trPr>
        <w:tc>
          <w:tcPr>
            <w:tcW w:w="2420" w:type="dxa"/>
            <w:vAlign w:val="bottom"/>
          </w:tcPr>
          <w:p>
            <w:pPr>
              <w:ind w:left="240"/>
              <w:spacing w:after="0"/>
              <w:rPr>
                <w:sz w:val="20"/>
                <w:szCs w:val="20"/>
                <w:color w:val="auto"/>
              </w:rPr>
            </w:pPr>
            <w:r>
              <w:rPr>
                <w:rFonts w:ascii="Arial" w:cs="Arial" w:eastAsia="Arial" w:hAnsi="Arial"/>
                <w:sz w:val="11"/>
                <w:szCs w:val="11"/>
                <w:color w:val="auto"/>
                <w:w w:val="98"/>
              </w:rPr>
              <w:t>Commercial real estate, non-owner occupied</w:t>
            </w:r>
          </w:p>
        </w:tc>
        <w:tc>
          <w:tcPr>
            <w:tcW w:w="14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5,054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3,082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955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0.28 %</w:t>
            </w:r>
          </w:p>
        </w:tc>
        <w:tc>
          <w:tcPr>
            <w:tcW w:w="0" w:type="dxa"/>
            <w:vAlign w:val="bottom"/>
          </w:tcPr>
          <w:p>
            <w:pPr>
              <w:spacing w:after="0"/>
              <w:rPr>
                <w:sz w:val="1"/>
                <w:szCs w:val="1"/>
                <w:color w:val="auto"/>
              </w:rPr>
            </w:pPr>
          </w:p>
        </w:tc>
      </w:tr>
      <w:tr>
        <w:trPr>
          <w:trHeight w:val="152"/>
        </w:trPr>
        <w:tc>
          <w:tcPr>
            <w:tcW w:w="2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Commercial real estate, owner occupied</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4,177</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0.29 %</w:t>
            </w:r>
          </w:p>
        </w:tc>
        <w:tc>
          <w:tcPr>
            <w:tcW w:w="0" w:type="dxa"/>
            <w:vAlign w:val="bottom"/>
          </w:tcPr>
          <w:p>
            <w:pPr>
              <w:spacing w:after="0"/>
              <w:rPr>
                <w:sz w:val="1"/>
                <w:szCs w:val="1"/>
                <w:color w:val="auto"/>
              </w:rPr>
            </w:pPr>
          </w:p>
        </w:tc>
      </w:tr>
      <w:tr>
        <w:trPr>
          <w:trHeight w:val="142"/>
        </w:trPr>
        <w:tc>
          <w:tcPr>
            <w:tcW w:w="2420" w:type="dxa"/>
            <w:vAlign w:val="bottom"/>
          </w:tcPr>
          <w:p>
            <w:pPr>
              <w:ind w:left="240"/>
              <w:spacing w:after="0"/>
              <w:rPr>
                <w:sz w:val="20"/>
                <w:szCs w:val="20"/>
                <w:color w:val="auto"/>
              </w:rPr>
            </w:pPr>
            <w:r>
              <w:rPr>
                <w:rFonts w:ascii="Arial" w:cs="Arial" w:eastAsia="Arial" w:hAnsi="Arial"/>
                <w:sz w:val="11"/>
                <w:szCs w:val="11"/>
                <w:color w:val="auto"/>
              </w:rPr>
              <w:t>Residential</w:t>
            </w:r>
          </w:p>
        </w:tc>
        <w:tc>
          <w:tcPr>
            <w:tcW w:w="14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646</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0.04 %</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Home equity</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0.03 %</w:t>
            </w:r>
          </w:p>
        </w:tc>
        <w:tc>
          <w:tcPr>
            <w:tcW w:w="0" w:type="dxa"/>
            <w:vAlign w:val="bottom"/>
          </w:tcPr>
          <w:p>
            <w:pPr>
              <w:spacing w:after="0"/>
              <w:rPr>
                <w:sz w:val="1"/>
                <w:szCs w:val="1"/>
                <w:color w:val="auto"/>
              </w:rPr>
            </w:pPr>
          </w:p>
        </w:tc>
      </w:tr>
      <w:tr>
        <w:trPr>
          <w:trHeight w:val="162"/>
        </w:trPr>
        <w:tc>
          <w:tcPr>
            <w:tcW w:w="2420" w:type="dxa"/>
            <w:vAlign w:val="bottom"/>
          </w:tcPr>
          <w:p>
            <w:pPr>
              <w:ind w:left="20"/>
              <w:spacing w:after="0"/>
              <w:rPr>
                <w:sz w:val="20"/>
                <w:szCs w:val="20"/>
                <w:color w:val="auto"/>
              </w:rPr>
            </w:pPr>
            <w:r>
              <w:rPr>
                <w:rFonts w:ascii="Arial" w:cs="Arial" w:eastAsia="Arial" w:hAnsi="Arial"/>
                <w:sz w:val="11"/>
                <w:szCs w:val="11"/>
                <w:color w:val="auto"/>
              </w:rPr>
              <w:t>Total</w:t>
            </w: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12,552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22,805</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630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14,913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955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646</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5"/>
          </w:tcPr>
          <w:p>
            <w:pPr>
              <w:ind w:left="100"/>
              <w:spacing w:after="0"/>
              <w:rPr>
                <w:sz w:val="20"/>
                <w:szCs w:val="20"/>
                <w:color w:val="auto"/>
              </w:rPr>
            </w:pPr>
            <w:r>
              <w:rPr>
                <w:rFonts w:ascii="Arial" w:cs="Arial" w:eastAsia="Arial" w:hAnsi="Arial"/>
                <w:sz w:val="11"/>
                <w:szCs w:val="11"/>
                <w:b w:val="1"/>
                <w:bCs w:val="1"/>
                <w:color w:val="auto"/>
              </w:rPr>
              <w:t>Nine Months Ended September 30, 2025</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gridSpan w:val="9"/>
          </w:tcPr>
          <w:p>
            <w:pPr>
              <w:ind w:left="540"/>
              <w:spacing w:after="0"/>
              <w:rPr>
                <w:sz w:val="20"/>
                <w:szCs w:val="20"/>
                <w:color w:val="auto"/>
              </w:rPr>
            </w:pPr>
            <w:r>
              <w:rPr>
                <w:rFonts w:ascii="Arial" w:cs="Arial" w:eastAsia="Arial" w:hAnsi="Arial"/>
                <w:sz w:val="11"/>
                <w:szCs w:val="11"/>
                <w:b w:val="1"/>
                <w:bCs w:val="1"/>
                <w:color w:val="auto"/>
              </w:rPr>
              <w:t>Loan Modifications Made to Borrowers Experiencing Financial Difficulty</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Combination Interest</w:t>
            </w:r>
          </w:p>
        </w:tc>
        <w:tc>
          <w:tcPr>
            <w:tcW w:w="1180" w:type="dxa"/>
            <w:vAlign w:val="bottom"/>
            <w:gridSpan w:val="2"/>
          </w:tcPr>
          <w:p>
            <w:pPr>
              <w:ind w:left="40"/>
              <w:spacing w:after="0" w:line="109" w:lineRule="exact"/>
              <w:rPr>
                <w:sz w:val="20"/>
                <w:szCs w:val="20"/>
                <w:color w:val="auto"/>
              </w:rPr>
            </w:pPr>
            <w:r>
              <w:rPr>
                <w:rFonts w:ascii="Arial" w:cs="Arial" w:eastAsia="Arial" w:hAnsi="Arial"/>
                <w:sz w:val="11"/>
                <w:szCs w:val="11"/>
                <w:b w:val="1"/>
                <w:bCs w:val="1"/>
                <w:color w:val="auto"/>
              </w:rPr>
              <w:t>Combination Interest</w:t>
            </w: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Interest Rate</w:t>
            </w:r>
          </w:p>
        </w:tc>
        <w:tc>
          <w:tcPr>
            <w:tcW w:w="1260" w:type="dxa"/>
            <w:vAlign w:val="bottom"/>
            <w:gridSpan w:val="3"/>
            <w:vMerge w:val="continue"/>
          </w:tcPr>
          <w:p>
            <w:pPr>
              <w:spacing w:after="0"/>
              <w:rPr>
                <w:sz w:val="9"/>
                <w:szCs w:val="9"/>
                <w:color w:val="auto"/>
              </w:rPr>
            </w:pPr>
          </w:p>
        </w:tc>
        <w:tc>
          <w:tcPr>
            <w:tcW w:w="118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w w:val="98"/>
              </w:rPr>
              <w:t>Rate Reduction, Term</w:t>
            </w:r>
          </w:p>
        </w:tc>
        <w:tc>
          <w:tcPr>
            <w:tcW w:w="100" w:type="dxa"/>
            <w:vAlign w:val="bottom"/>
          </w:tcPr>
          <w:p>
            <w:pPr>
              <w:spacing w:after="0"/>
              <w:rPr>
                <w:sz w:val="9"/>
                <w:szCs w:val="9"/>
                <w:color w:val="auto"/>
              </w:rPr>
            </w:pPr>
          </w:p>
        </w:tc>
        <w:tc>
          <w:tcPr>
            <w:tcW w:w="12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 of Total Class of</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Payment Delay</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99"/>
              </w:rPr>
              <w:t>Term Extension</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Rate Reduction &amp;</w:t>
            </w:r>
          </w:p>
        </w:tc>
        <w:tc>
          <w:tcPr>
            <w:tcW w:w="118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w w:val="99"/>
              </w:rPr>
              <w:t>Extension &amp; Payment</w:t>
            </w: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6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Reduction</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6"/>
              </w:rPr>
              <w:t>Term Extension</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Delay</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Financing Receivable</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11,201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0.24 %</w:t>
            </w: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rPr>
                <w:sz w:val="20"/>
                <w:szCs w:val="20"/>
                <w:color w:val="auto"/>
              </w:rPr>
            </w:pPr>
            <w:r>
              <w:rPr>
                <w:rFonts w:ascii="Arial" w:cs="Arial" w:eastAsia="Arial" w:hAnsi="Arial"/>
                <w:sz w:val="11"/>
                <w:szCs w:val="11"/>
                <w:color w:val="auto"/>
              </w:rPr>
              <w:t>Real estate loans: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6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15,515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37,954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12,248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2.85 %</w:t>
            </w:r>
          </w:p>
        </w:tc>
        <w:tc>
          <w:tcPr>
            <w:tcW w:w="0" w:type="dxa"/>
            <w:vAlign w:val="bottom"/>
          </w:tcPr>
          <w:p>
            <w:pPr>
              <w:spacing w:after="0"/>
              <w:rPr>
                <w:sz w:val="1"/>
                <w:szCs w:val="1"/>
                <w:color w:val="auto"/>
              </w:rPr>
            </w:pPr>
          </w:p>
        </w:tc>
      </w:tr>
      <w:tr>
        <w:trPr>
          <w:trHeight w:val="156"/>
        </w:trPr>
        <w:tc>
          <w:tcPr>
            <w:tcW w:w="3660" w:type="dxa"/>
            <w:vAlign w:val="bottom"/>
          </w:tcPr>
          <w:p>
            <w:pPr>
              <w:ind w:left="240"/>
              <w:spacing w:after="0"/>
              <w:rPr>
                <w:sz w:val="20"/>
                <w:szCs w:val="20"/>
                <w:color w:val="auto"/>
              </w:rPr>
            </w:pPr>
            <w:r>
              <w:rPr>
                <w:rFonts w:ascii="Arial" w:cs="Arial" w:eastAsia="Arial" w:hAnsi="Arial"/>
                <w:sz w:val="11"/>
                <w:szCs w:val="11"/>
                <w:color w:val="auto"/>
              </w:rPr>
              <w:t>Residential</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1,285</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0.09 %</w:t>
            </w:r>
          </w:p>
        </w:tc>
        <w:tc>
          <w:tcPr>
            <w:tcW w:w="0" w:type="dxa"/>
            <w:vAlign w:val="bottom"/>
          </w:tcPr>
          <w:p>
            <w:pPr>
              <w:spacing w:after="0"/>
              <w:rPr>
                <w:sz w:val="1"/>
                <w:szCs w:val="1"/>
                <w:color w:val="auto"/>
              </w:rPr>
            </w:pPr>
          </w:p>
        </w:tc>
      </w:tr>
      <w:tr>
        <w:trPr>
          <w:trHeight w:val="187"/>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26,716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37,954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60"/>
        <w:spacing w:after="0" w:line="285" w:lineRule="auto"/>
        <w:rPr>
          <w:sz w:val="20"/>
          <w:szCs w:val="20"/>
          <w:color w:val="auto"/>
        </w:rPr>
      </w:pPr>
      <w:r>
        <w:rPr>
          <w:rFonts w:ascii="Arial" w:cs="Arial" w:eastAsia="Arial" w:hAnsi="Arial"/>
          <w:sz w:val="14"/>
          <w:szCs w:val="14"/>
          <w:color w:val="auto"/>
        </w:rPr>
        <w:t>The following tables present the financial effect of the loan modifications presented above to borrowers experiencing financial difficulty for the three and nine months ended September 30,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gridSpan w:val="8"/>
          </w:tcPr>
          <w:p>
            <w:pPr>
              <w:jc w:val="center"/>
              <w:ind w:left="746"/>
              <w:spacing w:after="0"/>
              <w:rPr>
                <w:sz w:val="20"/>
                <w:szCs w:val="20"/>
                <w:color w:val="auto"/>
              </w:rPr>
            </w:pPr>
            <w:r>
              <w:rPr>
                <w:rFonts w:ascii="Arial" w:cs="Arial" w:eastAsia="Arial" w:hAnsi="Arial"/>
                <w:sz w:val="11"/>
                <w:szCs w:val="11"/>
                <w:b w:val="1"/>
                <w:bCs w:val="1"/>
                <w:color w:val="auto"/>
                <w:w w:val="97"/>
              </w:rPr>
              <w:t>Three Months Ended September 30, 2026</w:t>
            </w: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gridSpan w:val="8"/>
          </w:tcPr>
          <w:p>
            <w:pPr>
              <w:jc w:val="center"/>
              <w:ind w:left="746"/>
              <w:spacing w:after="0"/>
              <w:rPr>
                <w:sz w:val="20"/>
                <w:szCs w:val="20"/>
                <w:color w:val="auto"/>
              </w:rPr>
            </w:pPr>
            <w:r>
              <w:rPr>
                <w:rFonts w:ascii="Arial" w:cs="Arial" w:eastAsia="Arial" w:hAnsi="Arial"/>
                <w:sz w:val="11"/>
                <w:szCs w:val="11"/>
                <w:b w:val="1"/>
                <w:bCs w:val="1"/>
                <w:color w:val="auto"/>
                <w:w w:val="97"/>
              </w:rPr>
              <w:t>Financial Effect of Loan Modifications</w:t>
            </w: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Combination Interest Rate</w:t>
            </w:r>
          </w:p>
        </w:tc>
        <w:tc>
          <w:tcPr>
            <w:tcW w:w="0" w:type="dxa"/>
            <w:vAlign w:val="bottom"/>
          </w:tcPr>
          <w:p>
            <w:pPr>
              <w:spacing w:after="0"/>
              <w:rPr>
                <w:sz w:val="1"/>
                <w:szCs w:val="1"/>
                <w:color w:val="auto"/>
              </w:rPr>
            </w:pPr>
          </w:p>
        </w:tc>
      </w:tr>
      <w:tr>
        <w:trPr>
          <w:trHeight w:val="108"/>
        </w:trPr>
        <w:tc>
          <w:tcPr>
            <w:tcW w:w="5660" w:type="dxa"/>
            <w:vAlign w:val="bottom"/>
          </w:tcPr>
          <w:p>
            <w:pPr>
              <w:spacing w:after="0"/>
              <w:rPr>
                <w:sz w:val="9"/>
                <w:szCs w:val="9"/>
                <w:color w:val="auto"/>
              </w:rPr>
            </w:pPr>
          </w:p>
        </w:tc>
        <w:tc>
          <w:tcPr>
            <w:tcW w:w="2160" w:type="dxa"/>
            <w:vAlign w:val="bottom"/>
            <w:gridSpan w:val="2"/>
            <w:vMerge w:val="restart"/>
          </w:tcPr>
          <w:p>
            <w:pPr>
              <w:ind w:left="700"/>
              <w:spacing w:after="0"/>
              <w:rPr>
                <w:sz w:val="20"/>
                <w:szCs w:val="20"/>
                <w:color w:val="auto"/>
              </w:rPr>
            </w:pPr>
            <w:r>
              <w:rPr>
                <w:rFonts w:ascii="Arial" w:cs="Arial" w:eastAsia="Arial" w:hAnsi="Arial"/>
                <w:sz w:val="11"/>
                <w:szCs w:val="11"/>
                <w:b w:val="1"/>
                <w:bCs w:val="1"/>
                <w:color w:val="auto"/>
              </w:rPr>
              <w:t>Term Extension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Interest Rate Reduction</w:t>
            </w:r>
          </w:p>
        </w:tc>
        <w:tc>
          <w:tcPr>
            <w:tcW w:w="100" w:type="dxa"/>
            <w:vAlign w:val="bottom"/>
            <w:gridSpan w:val="2"/>
            <w:vMerge w:val="restart"/>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Reduction, Term Extension &amp;</w:t>
            </w:r>
          </w:p>
        </w:tc>
        <w:tc>
          <w:tcPr>
            <w:tcW w:w="0" w:type="dxa"/>
            <w:vAlign w:val="bottom"/>
          </w:tcPr>
          <w:p>
            <w:pPr>
              <w:spacing w:after="0"/>
              <w:rPr>
                <w:sz w:val="1"/>
                <w:szCs w:val="1"/>
                <w:color w:val="auto"/>
              </w:rPr>
            </w:pPr>
          </w:p>
        </w:tc>
      </w:tr>
      <w:tr>
        <w:trPr>
          <w:trHeight w:val="155"/>
        </w:trPr>
        <w:tc>
          <w:tcPr>
            <w:tcW w:w="566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gridSpan w:val="2"/>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Payment Delay</w:t>
            </w:r>
          </w:p>
        </w:tc>
        <w:tc>
          <w:tcPr>
            <w:tcW w:w="0" w:type="dxa"/>
            <w:vAlign w:val="bottom"/>
          </w:tcPr>
          <w:p>
            <w:pPr>
              <w:spacing w:after="0"/>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216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w w:val="98"/>
              </w:rPr>
              <w:t>Extended loans by a weighted average of 11</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80" w:type="dxa"/>
            <w:vAlign w:val="bottom"/>
            <w:gridSpan w:val="4"/>
            <w:shd w:val="clear" w:color="auto" w:fill="CCEEFF"/>
          </w:tcPr>
          <w:p>
            <w:pPr>
              <w:ind w:left="20"/>
              <w:spacing w:after="0" w:line="109" w:lineRule="exact"/>
              <w:rPr>
                <w:sz w:val="20"/>
                <w:szCs w:val="20"/>
                <w:color w:val="auto"/>
              </w:rPr>
            </w:pPr>
            <w:r>
              <w:rPr>
                <w:rFonts w:ascii="Arial" w:cs="Arial" w:eastAsia="Arial" w:hAnsi="Arial"/>
                <w:sz w:val="11"/>
                <w:szCs w:val="11"/>
                <w:color w:val="auto"/>
              </w:rPr>
              <w:t>Reduced the weighted average</w:t>
            </w:r>
          </w:p>
        </w:tc>
        <w:tc>
          <w:tcPr>
            <w:tcW w:w="4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216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80" w:type="dxa"/>
            <w:vAlign w:val="bottom"/>
            <w:gridSpan w:val="4"/>
            <w:shd w:val="clear" w:color="auto" w:fill="CCEEFF"/>
          </w:tcPr>
          <w:p>
            <w:pPr>
              <w:ind w:left="20"/>
              <w:spacing w:after="0" w:line="108" w:lineRule="exact"/>
              <w:rPr>
                <w:sz w:val="20"/>
                <w:szCs w:val="20"/>
                <w:color w:val="auto"/>
              </w:rPr>
            </w:pPr>
            <w:r>
              <w:rPr>
                <w:rFonts w:ascii="Arial" w:cs="Arial" w:eastAsia="Arial" w:hAnsi="Arial"/>
                <w:sz w:val="11"/>
                <w:szCs w:val="11"/>
                <w:color w:val="auto"/>
              </w:rPr>
              <w:t>contractual interest rate from</w:t>
            </w:r>
          </w:p>
        </w:tc>
        <w:tc>
          <w:tcPr>
            <w:tcW w:w="4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vMerge w:val="continue"/>
            <w:shd w:val="clear" w:color="auto" w:fill="CCEEFF"/>
          </w:tcPr>
          <w:p>
            <w:pPr>
              <w:spacing w:after="0"/>
              <w:rPr>
                <w:sz w:val="12"/>
                <w:szCs w:val="12"/>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months.</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1"/>
                <w:szCs w:val="11"/>
                <w:color w:val="auto"/>
              </w:rPr>
              <w:t>8.00% to 7.50%.</w:t>
            </w:r>
          </w:p>
        </w:tc>
        <w:tc>
          <w:tcPr>
            <w:tcW w:w="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tcPr>
          <w:p>
            <w:pPr>
              <w:ind w:left="20"/>
              <w:spacing w:after="0"/>
              <w:rPr>
                <w:sz w:val="20"/>
                <w:szCs w:val="20"/>
                <w:color w:val="auto"/>
              </w:rPr>
            </w:pPr>
            <w:r>
              <w:rPr>
                <w:rFonts w:ascii="Arial" w:cs="Arial" w:eastAsia="Arial" w:hAnsi="Arial"/>
                <w:sz w:val="11"/>
                <w:szCs w:val="11"/>
                <w:color w:val="auto"/>
              </w:rPr>
              <w:t>Real estate loans:</w:t>
            </w: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660" w:type="dxa"/>
            <w:vAlign w:val="bottom"/>
            <w:vMerge w:val="restart"/>
            <w:shd w:val="clear" w:color="auto" w:fill="CCEEFF"/>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2160" w:type="dxa"/>
            <w:vAlign w:val="bottom"/>
            <w:gridSpan w:val="2"/>
            <w:shd w:val="clear" w:color="auto" w:fill="CCEEFF"/>
          </w:tcPr>
          <w:p>
            <w:pPr>
              <w:spacing w:after="0" w:line="109" w:lineRule="exact"/>
              <w:rPr>
                <w:sz w:val="20"/>
                <w:szCs w:val="20"/>
                <w:color w:val="auto"/>
              </w:rPr>
            </w:pPr>
            <w:r>
              <w:rPr>
                <w:rFonts w:ascii="Arial" w:cs="Arial" w:eastAsia="Arial" w:hAnsi="Arial"/>
                <w:sz w:val="11"/>
                <w:szCs w:val="11"/>
                <w:color w:val="auto"/>
              </w:rPr>
              <w:t>Extended loans by a weighted average of 9</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vMerge w:val="continue"/>
            <w:shd w:val="clear" w:color="auto" w:fill="CCEEFF"/>
          </w:tcPr>
          <w:p>
            <w:pPr>
              <w:spacing w:after="0"/>
              <w:rPr>
                <w:sz w:val="12"/>
                <w:szCs w:val="12"/>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months.</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660" w:type="dxa"/>
            <w:vAlign w:val="bottom"/>
            <w:vMerge w:val="restart"/>
          </w:tcPr>
          <w:p>
            <w:pPr>
              <w:ind w:left="240"/>
              <w:spacing w:after="0"/>
              <w:rPr>
                <w:sz w:val="20"/>
                <w:szCs w:val="20"/>
                <w:color w:val="auto"/>
              </w:rPr>
            </w:pPr>
            <w:r>
              <w:rPr>
                <w:rFonts w:ascii="Arial" w:cs="Arial" w:eastAsia="Arial" w:hAnsi="Arial"/>
                <w:sz w:val="11"/>
                <w:szCs w:val="11"/>
                <w:color w:val="auto"/>
              </w:rPr>
              <w:t>Commercial real estate, owner occupied</w:t>
            </w:r>
          </w:p>
        </w:tc>
        <w:tc>
          <w:tcPr>
            <w:tcW w:w="2160" w:type="dxa"/>
            <w:vAlign w:val="bottom"/>
            <w:gridSpan w:val="2"/>
          </w:tcPr>
          <w:p>
            <w:pPr>
              <w:spacing w:after="0" w:line="109" w:lineRule="exact"/>
              <w:rPr>
                <w:sz w:val="20"/>
                <w:szCs w:val="20"/>
                <w:color w:val="auto"/>
              </w:rPr>
            </w:pPr>
            <w:r>
              <w:rPr>
                <w:rFonts w:ascii="Arial" w:cs="Arial" w:eastAsia="Arial" w:hAnsi="Arial"/>
                <w:sz w:val="11"/>
                <w:szCs w:val="11"/>
                <w:color w:val="auto"/>
              </w:rPr>
              <w:t>Extended loans by a weighted average of 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660" w:type="dxa"/>
            <w:vAlign w:val="bottom"/>
            <w:vMerge w:val="continue"/>
          </w:tcPr>
          <w:p>
            <w:pPr>
              <w:spacing w:after="0"/>
              <w:rPr>
                <w:sz w:val="13"/>
                <w:szCs w:val="13"/>
                <w:color w:val="auto"/>
              </w:rPr>
            </w:pPr>
          </w:p>
        </w:tc>
        <w:tc>
          <w:tcPr>
            <w:tcW w:w="2160" w:type="dxa"/>
            <w:vAlign w:val="bottom"/>
            <w:gridSpan w:val="2"/>
          </w:tcPr>
          <w:p>
            <w:pPr>
              <w:spacing w:after="0"/>
              <w:rPr>
                <w:sz w:val="20"/>
                <w:szCs w:val="20"/>
                <w:color w:val="auto"/>
              </w:rPr>
            </w:pPr>
            <w:r>
              <w:rPr>
                <w:rFonts w:ascii="Arial" w:cs="Arial" w:eastAsia="Arial" w:hAnsi="Arial"/>
                <w:sz w:val="11"/>
                <w:szCs w:val="11"/>
                <w:color w:val="auto"/>
              </w:rPr>
              <w:t>months.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56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1"/>
                <w:szCs w:val="11"/>
                <w:color w:val="auto"/>
              </w:rPr>
              <w:t>Reduced the weighted average</w:t>
            </w:r>
          </w:p>
        </w:tc>
        <w:tc>
          <w:tcPr>
            <w:tcW w:w="0" w:type="dxa"/>
            <w:vAlign w:val="bottom"/>
          </w:tcPr>
          <w:p>
            <w:pPr>
              <w:spacing w:after="0"/>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8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contractual interest rate from</w:t>
            </w:r>
          </w:p>
        </w:tc>
        <w:tc>
          <w:tcPr>
            <w:tcW w:w="0" w:type="dxa"/>
            <w:vAlign w:val="bottom"/>
          </w:tcPr>
          <w:p>
            <w:pPr>
              <w:spacing w:after="0"/>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8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6.88% to 2.00%, extended</w:t>
            </w:r>
          </w:p>
        </w:tc>
        <w:tc>
          <w:tcPr>
            <w:tcW w:w="0" w:type="dxa"/>
            <w:vAlign w:val="bottom"/>
          </w:tcPr>
          <w:p>
            <w:pPr>
              <w:spacing w:after="0"/>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8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loans by a weighted average of</w:t>
            </w:r>
          </w:p>
        </w:tc>
        <w:tc>
          <w:tcPr>
            <w:tcW w:w="0" w:type="dxa"/>
            <w:vAlign w:val="bottom"/>
          </w:tcPr>
          <w:p>
            <w:pPr>
              <w:spacing w:after="0"/>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8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28 months, and provided</w:t>
            </w:r>
          </w:p>
        </w:tc>
        <w:tc>
          <w:tcPr>
            <w:tcW w:w="0" w:type="dxa"/>
            <w:vAlign w:val="bottom"/>
          </w:tcPr>
          <w:p>
            <w:pPr>
              <w:spacing w:after="0"/>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8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payment deferrals with</w:t>
            </w:r>
          </w:p>
        </w:tc>
        <w:tc>
          <w:tcPr>
            <w:tcW w:w="0" w:type="dxa"/>
            <w:vAlign w:val="bottom"/>
          </w:tcPr>
          <w:p>
            <w:pPr>
              <w:spacing w:after="0"/>
              <w:rPr>
                <w:sz w:val="1"/>
                <w:szCs w:val="1"/>
                <w:color w:val="auto"/>
              </w:rPr>
            </w:pPr>
          </w:p>
        </w:tc>
      </w:tr>
      <w:tr>
        <w:trPr>
          <w:trHeight w:val="108"/>
        </w:trPr>
        <w:tc>
          <w:tcPr>
            <w:tcW w:w="5660" w:type="dxa"/>
            <w:vAlign w:val="bottom"/>
            <w:vMerge w:val="restart"/>
            <w:shd w:val="clear" w:color="auto" w:fill="CCEEFF"/>
          </w:tcPr>
          <w:p>
            <w:pPr>
              <w:ind w:left="240"/>
              <w:spacing w:after="0"/>
              <w:rPr>
                <w:sz w:val="20"/>
                <w:szCs w:val="20"/>
                <w:color w:val="auto"/>
              </w:rPr>
            </w:pPr>
            <w:r>
              <w:rPr>
                <w:rFonts w:ascii="Arial" w:cs="Arial" w:eastAsia="Arial" w:hAnsi="Arial"/>
                <w:sz w:val="11"/>
                <w:szCs w:val="11"/>
                <w:color w:val="auto"/>
              </w:rPr>
              <w:t>Residential</w:t>
            </w: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8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weighted average delayed</w:t>
            </w:r>
          </w:p>
        </w:tc>
        <w:tc>
          <w:tcPr>
            <w:tcW w:w="0" w:type="dxa"/>
            <w:vAlign w:val="bottom"/>
          </w:tcPr>
          <w:p>
            <w:pPr>
              <w:spacing w:after="0"/>
              <w:rPr>
                <w:sz w:val="1"/>
                <w:szCs w:val="1"/>
                <w:color w:val="auto"/>
              </w:rPr>
            </w:pPr>
          </w:p>
        </w:tc>
      </w:tr>
      <w:tr>
        <w:trPr>
          <w:trHeight w:val="162"/>
        </w:trPr>
        <w:tc>
          <w:tcPr>
            <w:tcW w:w="5660" w:type="dxa"/>
            <w:vAlign w:val="bottom"/>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amounts of $13.</w:t>
            </w:r>
          </w:p>
        </w:tc>
        <w:tc>
          <w:tcPr>
            <w:tcW w:w="0" w:type="dxa"/>
            <w:vAlign w:val="bottom"/>
          </w:tcPr>
          <w:p>
            <w:pPr>
              <w:spacing w:after="0"/>
              <w:rPr>
                <w:sz w:val="1"/>
                <w:szCs w:val="1"/>
                <w:color w:val="auto"/>
              </w:rPr>
            </w:pPr>
          </w:p>
        </w:tc>
      </w:tr>
      <w:tr>
        <w:trPr>
          <w:trHeight w:val="755"/>
        </w:trPr>
        <w:tc>
          <w:tcPr>
            <w:tcW w:w="5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0" w:type="dxa"/>
            <w:vAlign w:val="bottom"/>
            <w:gridSpan w:val="10"/>
          </w:tcPr>
          <w:p>
            <w:pPr>
              <w:jc w:val="center"/>
              <w:spacing w:after="0"/>
              <w:rPr>
                <w:sz w:val="20"/>
                <w:szCs w:val="20"/>
                <w:color w:val="auto"/>
              </w:rPr>
            </w:pPr>
            <w:r>
              <w:rPr>
                <w:rFonts w:ascii="Arial" w:cs="Arial" w:eastAsia="Arial" w:hAnsi="Arial"/>
                <w:sz w:val="11"/>
                <w:szCs w:val="11"/>
                <w:b w:val="1"/>
                <w:bCs w:val="1"/>
                <w:color w:val="auto"/>
                <w:w w:val="98"/>
              </w:rPr>
              <w:t>Three Months Ended September 30, 2025</w:t>
            </w: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20" w:type="dxa"/>
            <w:vAlign w:val="bottom"/>
            <w:gridSpan w:val="9"/>
          </w:tcPr>
          <w:p>
            <w:pPr>
              <w:jc w:val="center"/>
              <w:ind w:right="1346"/>
              <w:spacing w:after="0"/>
              <w:rPr>
                <w:sz w:val="20"/>
                <w:szCs w:val="20"/>
                <w:color w:val="auto"/>
              </w:rPr>
            </w:pPr>
            <w:r>
              <w:rPr>
                <w:rFonts w:ascii="Arial" w:cs="Arial" w:eastAsia="Arial" w:hAnsi="Arial"/>
                <w:sz w:val="11"/>
                <w:szCs w:val="11"/>
                <w:b w:val="1"/>
                <w:bCs w:val="1"/>
                <w:color w:val="auto"/>
                <w:w w:val="97"/>
              </w:rPr>
              <w:t>Financial Effect of Loan Modifications</w:t>
            </w:r>
          </w:p>
        </w:tc>
        <w:tc>
          <w:tcPr>
            <w:tcW w:w="0" w:type="dxa"/>
            <w:vAlign w:val="bottom"/>
          </w:tcPr>
          <w:p>
            <w:pPr>
              <w:spacing w:after="0"/>
              <w:rPr>
                <w:sz w:val="1"/>
                <w:szCs w:val="1"/>
                <w:color w:val="auto"/>
              </w:rPr>
            </w:pPr>
          </w:p>
        </w:tc>
      </w:tr>
      <w:tr>
        <w:trPr>
          <w:trHeight w:val="122"/>
        </w:trPr>
        <w:tc>
          <w:tcPr>
            <w:tcW w:w="5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Payment Delay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9"/>
              </w:rPr>
              <w:t>Term Extension</w:t>
            </w:r>
          </w:p>
        </w:tc>
        <w:tc>
          <w:tcPr>
            <w:tcW w:w="6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Combination Interest Rate</w:t>
            </w:r>
          </w:p>
        </w:tc>
        <w:tc>
          <w:tcPr>
            <w:tcW w:w="0" w:type="dxa"/>
            <w:vAlign w:val="bottom"/>
          </w:tcPr>
          <w:p>
            <w:pPr>
              <w:spacing w:after="0"/>
              <w:rPr>
                <w:sz w:val="1"/>
                <w:szCs w:val="1"/>
                <w:color w:val="auto"/>
              </w:rPr>
            </w:pPr>
          </w:p>
        </w:tc>
      </w:tr>
      <w:tr>
        <w:trPr>
          <w:trHeight w:val="155"/>
        </w:trPr>
        <w:tc>
          <w:tcPr>
            <w:tcW w:w="566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8"/>
              </w:rPr>
              <w:t>Reduction &amp; Term Extension</w:t>
            </w:r>
          </w:p>
        </w:tc>
        <w:tc>
          <w:tcPr>
            <w:tcW w:w="0" w:type="dxa"/>
            <w:vAlign w:val="bottom"/>
          </w:tcPr>
          <w:p>
            <w:pPr>
              <w:spacing w:after="0"/>
              <w:rPr>
                <w:sz w:val="1"/>
                <w:szCs w:val="1"/>
                <w:color w:val="auto"/>
              </w:rPr>
            </w:pPr>
          </w:p>
        </w:tc>
      </w:tr>
      <w:tr>
        <w:trPr>
          <w:trHeight w:val="108"/>
        </w:trPr>
        <w:tc>
          <w:tcPr>
            <w:tcW w:w="56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3"/>
            <w:shd w:val="clear" w:color="auto" w:fill="CCEEFF"/>
          </w:tcPr>
          <w:p>
            <w:pPr>
              <w:ind w:left="20"/>
              <w:spacing w:after="0" w:line="109" w:lineRule="exact"/>
              <w:rPr>
                <w:sz w:val="20"/>
                <w:szCs w:val="20"/>
                <w:color w:val="auto"/>
              </w:rPr>
            </w:pPr>
            <w:r>
              <w:rPr>
                <w:rFonts w:ascii="Arial" w:cs="Arial" w:eastAsia="Arial" w:hAnsi="Arial"/>
                <w:sz w:val="11"/>
                <w:szCs w:val="11"/>
                <w:color w:val="auto"/>
              </w:rPr>
              <w:t>Extended loans by a weighted</w:t>
            </w:r>
          </w:p>
        </w:tc>
        <w:tc>
          <w:tcPr>
            <w:tcW w:w="4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vMerge w:val="continue"/>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average of 4 months.</w:t>
            </w:r>
          </w:p>
        </w:tc>
        <w:tc>
          <w:tcPr>
            <w:tcW w:w="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tcPr>
          <w:p>
            <w:pPr>
              <w:ind w:left="20"/>
              <w:spacing w:after="0"/>
              <w:rPr>
                <w:sz w:val="20"/>
                <w:szCs w:val="20"/>
                <w:color w:val="auto"/>
              </w:rPr>
            </w:pPr>
            <w:r>
              <w:rPr>
                <w:rFonts w:ascii="Arial" w:cs="Arial" w:eastAsia="Arial" w:hAnsi="Arial"/>
                <w:sz w:val="11"/>
                <w:szCs w:val="11"/>
                <w:color w:val="auto"/>
              </w:rPr>
              <w:t>Real estate loans:</w:t>
            </w: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5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w w:val="98"/>
              </w:rPr>
              <w:t>Reduced the weighted average</w:t>
            </w:r>
          </w:p>
        </w:tc>
        <w:tc>
          <w:tcPr>
            <w:tcW w:w="0" w:type="dxa"/>
            <w:vAlign w:val="bottom"/>
          </w:tcPr>
          <w:p>
            <w:pPr>
              <w:spacing w:after="0"/>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54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contractual interest rate from</w:t>
            </w:r>
          </w:p>
        </w:tc>
        <w:tc>
          <w:tcPr>
            <w:tcW w:w="0" w:type="dxa"/>
            <w:vAlign w:val="bottom"/>
          </w:tcPr>
          <w:p>
            <w:pPr>
              <w:spacing w:after="0"/>
              <w:rPr>
                <w:sz w:val="1"/>
                <w:szCs w:val="1"/>
                <w:color w:val="auto"/>
              </w:rPr>
            </w:pPr>
          </w:p>
        </w:tc>
      </w:tr>
      <w:tr>
        <w:trPr>
          <w:trHeight w:val="108"/>
        </w:trPr>
        <w:tc>
          <w:tcPr>
            <w:tcW w:w="56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3"/>
            <w:vMerge w:val="restart"/>
            <w:shd w:val="clear" w:color="auto" w:fill="CCEEFF"/>
          </w:tcPr>
          <w:p>
            <w:pPr>
              <w:ind w:left="20"/>
              <w:spacing w:after="0"/>
              <w:rPr>
                <w:sz w:val="20"/>
                <w:szCs w:val="20"/>
                <w:color w:val="auto"/>
              </w:rPr>
            </w:pPr>
            <w:r>
              <w:rPr>
                <w:rFonts w:ascii="Arial" w:cs="Arial" w:eastAsia="Arial" w:hAnsi="Arial"/>
                <w:sz w:val="11"/>
                <w:szCs w:val="11"/>
                <w:color w:val="auto"/>
              </w:rPr>
              <w:t>Extended loans by a weighted</w:t>
            </w:r>
          </w:p>
        </w:tc>
        <w:tc>
          <w:tcPr>
            <w:tcW w:w="40" w:type="dxa"/>
            <w:vAlign w:val="bottom"/>
            <w:shd w:val="clear" w:color="auto" w:fill="CCEEFF"/>
          </w:tcPr>
          <w:p>
            <w:pPr>
              <w:spacing w:after="0"/>
              <w:rPr>
                <w:sz w:val="9"/>
                <w:szCs w:val="9"/>
                <w:color w:val="auto"/>
              </w:rPr>
            </w:pPr>
          </w:p>
        </w:tc>
        <w:tc>
          <w:tcPr>
            <w:tcW w:w="154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12.44% to 7.42% and</w:t>
            </w:r>
          </w:p>
        </w:tc>
        <w:tc>
          <w:tcPr>
            <w:tcW w:w="0" w:type="dxa"/>
            <w:vAlign w:val="bottom"/>
          </w:tcPr>
          <w:p>
            <w:pPr>
              <w:spacing w:after="0"/>
              <w:rPr>
                <w:sz w:val="1"/>
                <w:szCs w:val="1"/>
                <w:color w:val="auto"/>
              </w:rPr>
            </w:pPr>
          </w:p>
        </w:tc>
      </w:tr>
      <w:tr>
        <w:trPr>
          <w:trHeight w:val="108"/>
        </w:trPr>
        <w:tc>
          <w:tcPr>
            <w:tcW w:w="5660" w:type="dxa"/>
            <w:vAlign w:val="bottom"/>
            <w:vMerge w:val="restart"/>
            <w:shd w:val="clear" w:color="auto" w:fill="CCEEFF"/>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7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54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extended loans by a weighted</w:t>
            </w:r>
          </w:p>
        </w:tc>
        <w:tc>
          <w:tcPr>
            <w:tcW w:w="0" w:type="dxa"/>
            <w:vAlign w:val="bottom"/>
          </w:tcPr>
          <w:p>
            <w:pPr>
              <w:spacing w:after="0"/>
              <w:rPr>
                <w:sz w:val="1"/>
                <w:szCs w:val="1"/>
                <w:color w:val="auto"/>
              </w:rPr>
            </w:pPr>
          </w:p>
        </w:tc>
      </w:tr>
      <w:tr>
        <w:trPr>
          <w:trHeight w:val="162"/>
        </w:trPr>
        <w:tc>
          <w:tcPr>
            <w:tcW w:w="5660" w:type="dxa"/>
            <w:vAlign w:val="bottom"/>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average of 12 months.</w:t>
            </w:r>
          </w:p>
        </w:tc>
        <w:tc>
          <w:tcPr>
            <w:tcW w:w="40" w:type="dxa"/>
            <w:vAlign w:val="bottom"/>
            <w:shd w:val="clear" w:color="auto" w:fill="CCEEFF"/>
          </w:tcPr>
          <w:p>
            <w:pPr>
              <w:spacing w:after="0"/>
              <w:rPr>
                <w:sz w:val="14"/>
                <w:szCs w:val="14"/>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average of 5 months.</w:t>
            </w:r>
          </w:p>
        </w:tc>
        <w:tc>
          <w:tcPr>
            <w:tcW w:w="0" w:type="dxa"/>
            <w:vAlign w:val="bottom"/>
          </w:tcPr>
          <w:p>
            <w:pPr>
              <w:spacing w:after="0"/>
              <w:rPr>
                <w:sz w:val="1"/>
                <w:szCs w:val="1"/>
                <w:color w:val="auto"/>
              </w:rPr>
            </w:pPr>
          </w:p>
        </w:tc>
      </w:tr>
      <w:tr>
        <w:trPr>
          <w:trHeight w:val="108"/>
        </w:trPr>
        <w:tc>
          <w:tcPr>
            <w:tcW w:w="5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ind w:left="20"/>
              <w:spacing w:after="0" w:line="109" w:lineRule="exact"/>
              <w:rPr>
                <w:sz w:val="20"/>
                <w:szCs w:val="20"/>
                <w:color w:val="auto"/>
              </w:rPr>
            </w:pPr>
            <w:r>
              <w:rPr>
                <w:rFonts w:ascii="Arial" w:cs="Arial" w:eastAsia="Arial" w:hAnsi="Arial"/>
                <w:sz w:val="11"/>
                <w:szCs w:val="11"/>
                <w:color w:val="auto"/>
                <w:w w:val="99"/>
              </w:rPr>
              <w:t>Provided payment deferrals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60" w:type="dxa"/>
            <w:vAlign w:val="bottom"/>
            <w:vMerge w:val="restart"/>
          </w:tcPr>
          <w:p>
            <w:pPr>
              <w:ind w:left="240"/>
              <w:spacing w:after="0"/>
              <w:rPr>
                <w:sz w:val="20"/>
                <w:szCs w:val="20"/>
                <w:color w:val="auto"/>
              </w:rPr>
            </w:pPr>
            <w:r>
              <w:rPr>
                <w:rFonts w:ascii="Arial" w:cs="Arial" w:eastAsia="Arial" w:hAnsi="Arial"/>
                <w:sz w:val="11"/>
                <w:szCs w:val="11"/>
                <w:color w:val="auto"/>
              </w:rPr>
              <w:t>Residential</w:t>
            </w:r>
          </w:p>
        </w:tc>
        <w:tc>
          <w:tcPr>
            <w:tcW w:w="780" w:type="dxa"/>
            <w:vAlign w:val="bottom"/>
          </w:tcPr>
          <w:p>
            <w:pPr>
              <w:spacing w:after="0"/>
              <w:rPr>
                <w:sz w:val="9"/>
                <w:szCs w:val="9"/>
                <w:color w:val="auto"/>
              </w:rPr>
            </w:pPr>
          </w:p>
        </w:tc>
        <w:tc>
          <w:tcPr>
            <w:tcW w:w="3220" w:type="dxa"/>
            <w:vAlign w:val="bottom"/>
            <w:gridSpan w:val="8"/>
          </w:tcPr>
          <w:p>
            <w:pPr>
              <w:ind w:left="20"/>
              <w:spacing w:after="0" w:line="108" w:lineRule="exact"/>
              <w:rPr>
                <w:sz w:val="20"/>
                <w:szCs w:val="20"/>
                <w:color w:val="auto"/>
              </w:rPr>
            </w:pPr>
            <w:r>
              <w:rPr>
                <w:rFonts w:ascii="Arial" w:cs="Arial" w:eastAsia="Arial" w:hAnsi="Arial"/>
                <w:sz w:val="11"/>
                <w:szCs w:val="11"/>
                <w:color w:val="auto"/>
              </w:rPr>
              <w:t>with weighted average delayed</w:t>
            </w:r>
          </w:p>
        </w:tc>
        <w:tc>
          <w:tcPr>
            <w:tcW w:w="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ind w:left="20"/>
              <w:spacing w:after="0"/>
              <w:rPr>
                <w:sz w:val="20"/>
                <w:szCs w:val="20"/>
                <w:color w:val="auto"/>
              </w:rPr>
            </w:pPr>
            <w:r>
              <w:rPr>
                <w:rFonts w:ascii="Arial" w:cs="Arial" w:eastAsia="Arial" w:hAnsi="Arial"/>
                <w:sz w:val="11"/>
                <w:szCs w:val="11"/>
                <w:color w:val="auto"/>
              </w:rPr>
              <w:t>amounts of $28.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7"/>
              </w:rPr>
              <w:t>Nine Months Ended September 30, 2026</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7"/>
              </w:rPr>
              <w:t>Financial Effect of Loan Modifications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Combination Payment</w:t>
            </w:r>
          </w:p>
        </w:tc>
        <w:tc>
          <w:tcPr>
            <w:tcW w:w="1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Combination Interest Rate</w:t>
            </w:r>
          </w:p>
        </w:tc>
        <w:tc>
          <w:tcPr>
            <w:tcW w:w="1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Combination Interest Rate</w:t>
            </w: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14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Payment Delay</w:t>
            </w:r>
          </w:p>
        </w:tc>
        <w:tc>
          <w:tcPr>
            <w:tcW w:w="100" w:type="dxa"/>
            <w:vAlign w:val="bottom"/>
            <w:vMerge w:val="restart"/>
          </w:tcPr>
          <w:p>
            <w:pPr>
              <w:spacing w:after="0"/>
              <w:rPr>
                <w:sz w:val="9"/>
                <w:szCs w:val="9"/>
                <w:color w:val="auto"/>
              </w:rPr>
            </w:pPr>
          </w:p>
        </w:tc>
        <w:tc>
          <w:tcPr>
            <w:tcW w:w="14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Term Extension</w:t>
            </w:r>
          </w:p>
        </w:tc>
        <w:tc>
          <w:tcPr>
            <w:tcW w:w="120" w:type="dxa"/>
            <w:vAlign w:val="bottom"/>
            <w:vMerge w:val="restart"/>
          </w:tcPr>
          <w:p>
            <w:pPr>
              <w:spacing w:after="0"/>
              <w:rPr>
                <w:sz w:val="9"/>
                <w:szCs w:val="9"/>
                <w:color w:val="auto"/>
              </w:rPr>
            </w:pPr>
          </w:p>
        </w:tc>
        <w:tc>
          <w:tcPr>
            <w:tcW w:w="15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Interest Rate Reduction</w:t>
            </w:r>
          </w:p>
        </w:tc>
        <w:tc>
          <w:tcPr>
            <w:tcW w:w="100" w:type="dxa"/>
            <w:vAlign w:val="bottom"/>
            <w:vMerge w:val="restart"/>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97"/>
              </w:rPr>
              <w:t>Reduction &amp; Term</w:t>
            </w:r>
          </w:p>
        </w:tc>
        <w:tc>
          <w:tcPr>
            <w:tcW w:w="14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Reduction, Term Extension</w:t>
            </w:r>
          </w:p>
        </w:tc>
        <w:tc>
          <w:tcPr>
            <w:tcW w:w="0" w:type="dxa"/>
            <w:vAlign w:val="bottom"/>
          </w:tcPr>
          <w:p>
            <w:pPr>
              <w:spacing w:after="0"/>
              <w:rPr>
                <w:sz w:val="1"/>
                <w:szCs w:val="1"/>
                <w:color w:val="auto"/>
              </w:rPr>
            </w:pPr>
          </w:p>
        </w:tc>
      </w:tr>
      <w:tr>
        <w:trPr>
          <w:trHeight w:val="155"/>
        </w:trPr>
        <w:tc>
          <w:tcPr>
            <w:tcW w:w="196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Delay &amp; Term Extension</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Extension</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&amp; Payment Delay</w:t>
            </w:r>
          </w:p>
        </w:tc>
        <w:tc>
          <w:tcPr>
            <w:tcW w:w="0" w:type="dxa"/>
            <w:vAlign w:val="bottom"/>
          </w:tcPr>
          <w:p>
            <w:pPr>
              <w:spacing w:after="0"/>
              <w:rPr>
                <w:sz w:val="1"/>
                <w:szCs w:val="1"/>
                <w:color w:val="auto"/>
              </w:rPr>
            </w:pPr>
          </w:p>
        </w:tc>
      </w:tr>
      <w:tr>
        <w:trPr>
          <w:trHeight w:val="108"/>
        </w:trPr>
        <w:tc>
          <w:tcPr>
            <w:tcW w:w="19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60" w:type="dxa"/>
            <w:vAlign w:val="bottom"/>
            <w:gridSpan w:val="2"/>
            <w:shd w:val="clear" w:color="auto" w:fill="CCEEFF"/>
          </w:tcPr>
          <w:p>
            <w:pPr>
              <w:ind w:left="20"/>
              <w:spacing w:after="0" w:line="109" w:lineRule="exact"/>
              <w:rPr>
                <w:sz w:val="20"/>
                <w:szCs w:val="20"/>
                <w:color w:val="auto"/>
              </w:rPr>
            </w:pPr>
            <w:r>
              <w:rPr>
                <w:rFonts w:ascii="Arial" w:cs="Arial" w:eastAsia="Arial" w:hAnsi="Arial"/>
                <w:sz w:val="11"/>
                <w:szCs w:val="11"/>
                <w:color w:val="auto"/>
              </w:rPr>
              <w:t>Provided payment deferrals</w:t>
            </w: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with weighted average</w:t>
            </w: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CEEFF"/>
          </w:tcPr>
          <w:p>
            <w:pPr>
              <w:spacing w:after="0"/>
              <w:rPr>
                <w:sz w:val="9"/>
                <w:szCs w:val="9"/>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Provided payment deferrals</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Extended loans by a</w:t>
            </w: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Reduced the weighted</w:t>
            </w:r>
          </w:p>
        </w:tc>
        <w:tc>
          <w:tcPr>
            <w:tcW w:w="15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delayed amounts of $909</w:t>
            </w: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60" w:type="dxa"/>
            <w:vAlign w:val="bottom"/>
            <w:gridSpan w:val="2"/>
            <w:vMerge w:val="continue"/>
            <w:shd w:val="clear" w:color="auto" w:fill="CCEEFF"/>
          </w:tcPr>
          <w:p>
            <w:pPr>
              <w:spacing w:after="0"/>
              <w:rPr>
                <w:sz w:val="9"/>
                <w:szCs w:val="9"/>
                <w:color w:val="auto"/>
              </w:rPr>
            </w:pPr>
          </w:p>
        </w:tc>
        <w:tc>
          <w:tcPr>
            <w:tcW w:w="1600" w:type="dxa"/>
            <w:vAlign w:val="bottom"/>
            <w:gridSpan w:val="2"/>
            <w:vMerge w:val="continue"/>
            <w:shd w:val="clear" w:color="auto" w:fill="CCEEFF"/>
          </w:tcPr>
          <w:p>
            <w:pPr>
              <w:spacing w:after="0"/>
              <w:rPr>
                <w:sz w:val="9"/>
                <w:szCs w:val="9"/>
                <w:color w:val="auto"/>
              </w:rPr>
            </w:pPr>
          </w:p>
        </w:tc>
        <w:tc>
          <w:tcPr>
            <w:tcW w:w="15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and extended loans by a</w:t>
            </w: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5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with weighted average</w:t>
            </w:r>
          </w:p>
        </w:tc>
        <w:tc>
          <w:tcPr>
            <w:tcW w:w="15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weighted average of 27</w:t>
            </w:r>
          </w:p>
        </w:tc>
        <w:tc>
          <w:tcPr>
            <w:tcW w:w="160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average contractual interest</w:t>
            </w:r>
          </w:p>
        </w:tc>
        <w:tc>
          <w:tcPr>
            <w:tcW w:w="15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weighted average of 6</w:t>
            </w: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60" w:type="dxa"/>
            <w:vAlign w:val="bottom"/>
            <w:vMerge w:val="continue"/>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delayed amounts of $374.</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months.</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rate from 8.00% to 7.50%.</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months.</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54" w:right="339" w:bottom="1440" w:gutter="0" w:footer="0" w:header="0"/>
        </w:sectPr>
      </w:pPr>
    </w:p>
    <w:p>
      <w:pPr>
        <w:ind w:left="20"/>
        <w:spacing w:after="0"/>
        <w:rPr>
          <w:sz w:val="20"/>
          <w:szCs w:val="20"/>
          <w:color w:val="auto"/>
        </w:rPr>
      </w:pPr>
      <w:r>
        <w:rPr>
          <w:rFonts w:ascii="Arial" w:cs="Arial" w:eastAsia="Arial" w:hAnsi="Arial"/>
          <w:sz w:val="11"/>
          <w:szCs w:val="11"/>
          <w:color w:val="auto"/>
        </w:rPr>
        <w:t>Real estate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26"/>
        </w:trPr>
        <w:tc>
          <w:tcPr>
            <w:tcW w:w="1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40" w:type="dxa"/>
            <w:vAlign w:val="bottom"/>
          </w:tcPr>
          <w:p>
            <w:pPr>
              <w:ind w:left="120"/>
              <w:spacing w:after="0"/>
              <w:rPr>
                <w:sz w:val="20"/>
                <w:szCs w:val="20"/>
                <w:color w:val="auto"/>
              </w:rPr>
            </w:pPr>
            <w:r>
              <w:rPr>
                <w:rFonts w:ascii="Arial" w:cs="Arial" w:eastAsia="Arial" w:hAnsi="Arial"/>
                <w:sz w:val="11"/>
                <w:szCs w:val="11"/>
                <w:color w:val="auto"/>
              </w:rPr>
              <w:t>Extended loans by a</w:t>
            </w:r>
          </w:p>
        </w:tc>
        <w:tc>
          <w:tcPr>
            <w:tcW w:w="0" w:type="dxa"/>
            <w:vAlign w:val="bottom"/>
          </w:tcPr>
          <w:p>
            <w:pPr>
              <w:spacing w:after="0"/>
              <w:rPr>
                <w:sz w:val="1"/>
                <w:szCs w:val="1"/>
                <w:color w:val="auto"/>
              </w:rPr>
            </w:pPr>
          </w:p>
        </w:tc>
      </w:tr>
      <w:tr>
        <w:trPr>
          <w:trHeight w:val="108"/>
        </w:trPr>
        <w:tc>
          <w:tcPr>
            <w:tcW w:w="1600" w:type="dxa"/>
            <w:vAlign w:val="bottom"/>
            <w:vMerge w:val="restart"/>
          </w:tcPr>
          <w:p>
            <w:pPr>
              <w:spacing w:after="0"/>
              <w:rPr>
                <w:sz w:val="20"/>
                <w:szCs w:val="20"/>
                <w:color w:val="auto"/>
              </w:rPr>
            </w:pPr>
            <w:r>
              <w:rPr>
                <w:rFonts w:ascii="Arial" w:cs="Arial" w:eastAsia="Arial" w:hAnsi="Arial"/>
                <w:sz w:val="11"/>
                <w:szCs w:val="11"/>
                <w:color w:val="auto"/>
              </w:rPr>
              <w:t>Construction</w:t>
            </w:r>
          </w:p>
        </w:tc>
        <w:tc>
          <w:tcPr>
            <w:tcW w:w="1560" w:type="dxa"/>
            <w:vAlign w:val="bottom"/>
          </w:tcPr>
          <w:p>
            <w:pPr>
              <w:spacing w:after="0"/>
              <w:rPr>
                <w:sz w:val="9"/>
                <w:szCs w:val="9"/>
                <w:color w:val="auto"/>
              </w:rPr>
            </w:pPr>
          </w:p>
        </w:tc>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w w:val="96"/>
              </w:rPr>
              <w:t>weighted average of 12</w:t>
            </w:r>
          </w:p>
        </w:tc>
        <w:tc>
          <w:tcPr>
            <w:tcW w:w="0" w:type="dxa"/>
            <w:vAlign w:val="bottom"/>
          </w:tcPr>
          <w:p>
            <w:pPr>
              <w:spacing w:after="0"/>
              <w:rPr>
                <w:sz w:val="1"/>
                <w:szCs w:val="1"/>
                <w:color w:val="auto"/>
              </w:rPr>
            </w:pPr>
          </w:p>
        </w:tc>
      </w:tr>
      <w:tr>
        <w:trPr>
          <w:trHeight w:val="142"/>
        </w:trPr>
        <w:tc>
          <w:tcPr>
            <w:tcW w:w="160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ind w:left="120"/>
              <w:spacing w:after="0"/>
              <w:rPr>
                <w:sz w:val="20"/>
                <w:szCs w:val="20"/>
                <w:color w:val="auto"/>
              </w:rPr>
            </w:pPr>
            <w:r>
              <w:rPr>
                <w:rFonts w:ascii="Arial" w:cs="Arial" w:eastAsia="Arial" w:hAnsi="Arial"/>
                <w:sz w:val="11"/>
                <w:szCs w:val="11"/>
                <w:color w:val="auto"/>
              </w:rPr>
              <w:t>months.</w:t>
            </w:r>
          </w:p>
        </w:tc>
        <w:tc>
          <w:tcPr>
            <w:tcW w:w="0" w:type="dxa"/>
            <w:vAlign w:val="bottom"/>
          </w:tcPr>
          <w:p>
            <w:pPr>
              <w:spacing w:after="0"/>
              <w:rPr>
                <w:sz w:val="1"/>
                <w:szCs w:val="1"/>
                <w:color w:val="auto"/>
              </w:rPr>
            </w:pPr>
          </w:p>
        </w:tc>
      </w:tr>
      <w:tr>
        <w:trPr>
          <w:trHeight w:val="452"/>
        </w:trPr>
        <w:tc>
          <w:tcPr>
            <w:tcW w:w="16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Arial" w:cs="Arial" w:eastAsia="Arial" w:hAnsi="Arial"/>
                <w:sz w:val="11"/>
                <w:szCs w:val="11"/>
                <w:color w:val="auto"/>
              </w:rPr>
              <w:t>Provided payment deferrals</w:t>
            </w:r>
          </w:p>
        </w:tc>
        <w:tc>
          <w:tcPr>
            <w:tcW w:w="1240" w:type="dxa"/>
            <w:vAlign w:val="bottom"/>
          </w:tcPr>
          <w:p>
            <w:pPr>
              <w:ind w:left="120"/>
              <w:spacing w:after="0"/>
              <w:rPr>
                <w:sz w:val="20"/>
                <w:szCs w:val="20"/>
                <w:color w:val="auto"/>
              </w:rPr>
            </w:pPr>
            <w:r>
              <w:rPr>
                <w:rFonts w:ascii="Arial" w:cs="Arial" w:eastAsia="Arial" w:hAnsi="Arial"/>
                <w:sz w:val="11"/>
                <w:szCs w:val="11"/>
                <w:color w:val="auto"/>
              </w:rPr>
              <w:t>Extended loans by a</w:t>
            </w:r>
          </w:p>
        </w:tc>
        <w:tc>
          <w:tcPr>
            <w:tcW w:w="0" w:type="dxa"/>
            <w:vAlign w:val="bottom"/>
          </w:tcPr>
          <w:p>
            <w:pPr>
              <w:spacing w:after="0"/>
              <w:rPr>
                <w:sz w:val="1"/>
                <w:szCs w:val="1"/>
                <w:color w:val="auto"/>
              </w:rPr>
            </w:pPr>
          </w:p>
        </w:tc>
      </w:tr>
      <w:tr>
        <w:trPr>
          <w:trHeight w:val="108"/>
        </w:trPr>
        <w:tc>
          <w:tcPr>
            <w:tcW w:w="3160" w:type="dxa"/>
            <w:vAlign w:val="bottom"/>
            <w:gridSpan w:val="2"/>
          </w:tcPr>
          <w:p>
            <w:pPr>
              <w:spacing w:after="0" w:line="108" w:lineRule="exact"/>
              <w:rPr>
                <w:sz w:val="20"/>
                <w:szCs w:val="20"/>
                <w:color w:val="auto"/>
              </w:rPr>
            </w:pPr>
            <w:r>
              <w:rPr>
                <w:rFonts w:ascii="Arial" w:cs="Arial" w:eastAsia="Arial" w:hAnsi="Arial"/>
                <w:sz w:val="11"/>
                <w:szCs w:val="11"/>
                <w:color w:val="auto"/>
              </w:rPr>
              <w:t>Commercial real estate, non-owner with weighted average</w:t>
            </w:r>
          </w:p>
        </w:tc>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rPr>
              <w:t>weighted average of 9</w:t>
            </w:r>
          </w:p>
        </w:tc>
        <w:tc>
          <w:tcPr>
            <w:tcW w:w="0" w:type="dxa"/>
            <w:vAlign w:val="bottom"/>
          </w:tcPr>
          <w:p>
            <w:pPr>
              <w:spacing w:after="0"/>
              <w:rPr>
                <w:sz w:val="1"/>
                <w:szCs w:val="1"/>
                <w:color w:val="auto"/>
              </w:rPr>
            </w:pPr>
          </w:p>
        </w:tc>
      </w:tr>
      <w:tr>
        <w:trPr>
          <w:trHeight w:val="142"/>
        </w:trPr>
        <w:tc>
          <w:tcPr>
            <w:tcW w:w="1600" w:type="dxa"/>
            <w:vAlign w:val="bottom"/>
          </w:tcPr>
          <w:p>
            <w:pPr>
              <w:spacing w:after="0"/>
              <w:rPr>
                <w:sz w:val="20"/>
                <w:szCs w:val="20"/>
                <w:color w:val="auto"/>
              </w:rPr>
            </w:pPr>
            <w:r>
              <w:rPr>
                <w:rFonts w:ascii="Arial" w:cs="Arial" w:eastAsia="Arial" w:hAnsi="Arial"/>
                <w:sz w:val="11"/>
                <w:szCs w:val="11"/>
                <w:color w:val="auto"/>
              </w:rPr>
              <w:t>occupied</w:t>
            </w:r>
          </w:p>
        </w:tc>
        <w:tc>
          <w:tcPr>
            <w:tcW w:w="1560" w:type="dxa"/>
            <w:vAlign w:val="bottom"/>
          </w:tcPr>
          <w:p>
            <w:pPr>
              <w:ind w:left="140"/>
              <w:spacing w:after="0"/>
              <w:rPr>
                <w:sz w:val="20"/>
                <w:szCs w:val="20"/>
                <w:color w:val="auto"/>
              </w:rPr>
            </w:pPr>
            <w:r>
              <w:rPr>
                <w:rFonts w:ascii="Arial" w:cs="Arial" w:eastAsia="Arial" w:hAnsi="Arial"/>
                <w:sz w:val="11"/>
                <w:szCs w:val="11"/>
                <w:color w:val="auto"/>
              </w:rPr>
              <w:t>delayed amounts of $67.</w:t>
            </w:r>
          </w:p>
        </w:tc>
        <w:tc>
          <w:tcPr>
            <w:tcW w:w="1240" w:type="dxa"/>
            <w:vAlign w:val="bottom"/>
          </w:tcPr>
          <w:p>
            <w:pPr>
              <w:ind w:left="120"/>
              <w:spacing w:after="0"/>
              <w:rPr>
                <w:sz w:val="20"/>
                <w:szCs w:val="20"/>
                <w:color w:val="auto"/>
              </w:rPr>
            </w:pPr>
            <w:r>
              <w:rPr>
                <w:rFonts w:ascii="Arial" w:cs="Arial" w:eastAsia="Arial" w:hAnsi="Arial"/>
                <w:sz w:val="11"/>
                <w:szCs w:val="11"/>
                <w:color w:val="auto"/>
              </w:rPr>
              <w:t>months.</w:t>
            </w:r>
          </w:p>
        </w:tc>
        <w:tc>
          <w:tcPr>
            <w:tcW w:w="0" w:type="dxa"/>
            <w:vAlign w:val="bottom"/>
          </w:tcPr>
          <w:p>
            <w:pPr>
              <w:spacing w:after="0"/>
              <w:rPr>
                <w:sz w:val="1"/>
                <w:szCs w:val="1"/>
                <w:color w:val="auto"/>
              </w:rPr>
            </w:pPr>
          </w:p>
        </w:tc>
      </w:tr>
      <w:tr>
        <w:trPr>
          <w:trHeight w:val="128"/>
        </w:trPr>
        <w:tc>
          <w:tcPr>
            <w:tcW w:w="1600" w:type="dxa"/>
            <w:vAlign w:val="bottom"/>
            <w:vMerge w:val="restart"/>
          </w:tcPr>
          <w:p>
            <w:pPr>
              <w:spacing w:after="0"/>
              <w:rPr>
                <w:sz w:val="20"/>
                <w:szCs w:val="20"/>
                <w:color w:val="auto"/>
              </w:rPr>
            </w:pPr>
            <w:r>
              <w:rPr>
                <w:rFonts w:ascii="Arial" w:cs="Arial" w:eastAsia="Arial" w:hAnsi="Arial"/>
                <w:sz w:val="11"/>
                <w:szCs w:val="11"/>
                <w:color w:val="auto"/>
              </w:rPr>
              <w:t>Commercial real estate, owner</w:t>
            </w:r>
          </w:p>
        </w:tc>
        <w:tc>
          <w:tcPr>
            <w:tcW w:w="1560" w:type="dxa"/>
            <w:vAlign w:val="bottom"/>
          </w:tcPr>
          <w:p>
            <w:pPr>
              <w:spacing w:after="0"/>
              <w:rPr>
                <w:sz w:val="11"/>
                <w:szCs w:val="11"/>
                <w:color w:val="auto"/>
              </w:rPr>
            </w:pPr>
          </w:p>
        </w:tc>
        <w:tc>
          <w:tcPr>
            <w:tcW w:w="1240" w:type="dxa"/>
            <w:vAlign w:val="bottom"/>
          </w:tcPr>
          <w:p>
            <w:pPr>
              <w:ind w:left="120"/>
              <w:spacing w:after="0"/>
              <w:rPr>
                <w:sz w:val="20"/>
                <w:szCs w:val="20"/>
                <w:color w:val="auto"/>
              </w:rPr>
            </w:pPr>
            <w:r>
              <w:rPr>
                <w:rFonts w:ascii="Arial" w:cs="Arial" w:eastAsia="Arial" w:hAnsi="Arial"/>
                <w:sz w:val="11"/>
                <w:szCs w:val="11"/>
                <w:color w:val="auto"/>
              </w:rPr>
              <w:t>Extended loans by a</w:t>
            </w: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1240" w:type="dxa"/>
            <w:vAlign w:val="bottom"/>
          </w:tcPr>
          <w:p>
            <w:pPr>
              <w:ind w:left="120"/>
              <w:spacing w:after="0" w:line="108" w:lineRule="exact"/>
              <w:rPr>
                <w:sz w:val="20"/>
                <w:szCs w:val="20"/>
                <w:color w:val="auto"/>
              </w:rPr>
            </w:pPr>
            <w:r>
              <w:rPr>
                <w:rFonts w:ascii="Arial" w:cs="Arial" w:eastAsia="Arial" w:hAnsi="Arial"/>
                <w:sz w:val="11"/>
                <w:szCs w:val="11"/>
                <w:color w:val="auto"/>
                <w:w w:val="96"/>
              </w:rPr>
              <w:t>weighted average of 10</w:t>
            </w:r>
          </w:p>
        </w:tc>
        <w:tc>
          <w:tcPr>
            <w:tcW w:w="0" w:type="dxa"/>
            <w:vAlign w:val="bottom"/>
          </w:tcPr>
          <w:p>
            <w:pPr>
              <w:spacing w:after="0"/>
              <w:rPr>
                <w:sz w:val="1"/>
                <w:szCs w:val="1"/>
                <w:color w:val="auto"/>
              </w:rPr>
            </w:pPr>
          </w:p>
        </w:tc>
      </w:tr>
      <w:tr>
        <w:trPr>
          <w:trHeight w:val="142"/>
        </w:trPr>
        <w:tc>
          <w:tcPr>
            <w:tcW w:w="1600" w:type="dxa"/>
            <w:vAlign w:val="bottom"/>
          </w:tcPr>
          <w:p>
            <w:pPr>
              <w:spacing w:after="0"/>
              <w:rPr>
                <w:sz w:val="20"/>
                <w:szCs w:val="20"/>
                <w:color w:val="auto"/>
              </w:rPr>
            </w:pPr>
            <w:r>
              <w:rPr>
                <w:rFonts w:ascii="Arial" w:cs="Arial" w:eastAsia="Arial" w:hAnsi="Arial"/>
                <w:sz w:val="11"/>
                <w:szCs w:val="11"/>
                <w:color w:val="auto"/>
              </w:rPr>
              <w:t>occupied</w:t>
            </w:r>
          </w:p>
        </w:tc>
        <w:tc>
          <w:tcPr>
            <w:tcW w:w="1560" w:type="dxa"/>
            <w:vAlign w:val="bottom"/>
          </w:tcPr>
          <w:p>
            <w:pPr>
              <w:spacing w:after="0"/>
              <w:rPr>
                <w:sz w:val="12"/>
                <w:szCs w:val="12"/>
                <w:color w:val="auto"/>
              </w:rPr>
            </w:pPr>
          </w:p>
        </w:tc>
        <w:tc>
          <w:tcPr>
            <w:tcW w:w="1240" w:type="dxa"/>
            <w:vAlign w:val="bottom"/>
          </w:tcPr>
          <w:p>
            <w:pPr>
              <w:ind w:left="120"/>
              <w:spacing w:after="0"/>
              <w:rPr>
                <w:sz w:val="20"/>
                <w:szCs w:val="20"/>
                <w:color w:val="auto"/>
              </w:rPr>
            </w:pPr>
            <w:r>
              <w:rPr>
                <w:rFonts w:ascii="Arial" w:cs="Arial" w:eastAsia="Arial" w:hAnsi="Arial"/>
                <w:sz w:val="11"/>
                <w:szCs w:val="11"/>
                <w:color w:val="auto"/>
              </w:rPr>
              <w:t>months.</w:t>
            </w:r>
          </w:p>
        </w:tc>
        <w:tc>
          <w:tcPr>
            <w:tcW w:w="0" w:type="dxa"/>
            <w:vAlign w:val="bottom"/>
          </w:tcPr>
          <w:p>
            <w:pPr>
              <w:spacing w:after="0"/>
              <w:rPr>
                <w:sz w:val="1"/>
                <w:szCs w:val="1"/>
                <w:color w:val="auto"/>
              </w:rPr>
            </w:pPr>
          </w:p>
        </w:tc>
      </w:tr>
      <w:tr>
        <w:trPr>
          <w:trHeight w:val="776"/>
        </w:trPr>
        <w:tc>
          <w:tcPr>
            <w:tcW w:w="160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Arial" w:cs="Arial" w:eastAsia="Arial" w:hAnsi="Arial"/>
                <w:sz w:val="11"/>
                <w:szCs w:val="11"/>
                <w:color w:val="auto"/>
              </w:rPr>
              <w:t>Provided payment deferrals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00" w:type="dxa"/>
            <w:vAlign w:val="bottom"/>
            <w:vMerge w:val="restart"/>
          </w:tcPr>
          <w:p>
            <w:pPr>
              <w:spacing w:after="0"/>
              <w:rPr>
                <w:sz w:val="20"/>
                <w:szCs w:val="20"/>
                <w:color w:val="auto"/>
              </w:rPr>
            </w:pPr>
            <w:r>
              <w:rPr>
                <w:rFonts w:ascii="Arial" w:cs="Arial" w:eastAsia="Arial" w:hAnsi="Arial"/>
                <w:sz w:val="11"/>
                <w:szCs w:val="11"/>
                <w:color w:val="auto"/>
              </w:rPr>
              <w:t>Residential</w:t>
            </w:r>
          </w:p>
        </w:tc>
        <w:tc>
          <w:tcPr>
            <w:tcW w:w="1560" w:type="dxa"/>
            <w:vAlign w:val="bottom"/>
          </w:tcPr>
          <w:p>
            <w:pPr>
              <w:ind w:left="140"/>
              <w:spacing w:after="0" w:line="108" w:lineRule="exact"/>
              <w:rPr>
                <w:sz w:val="20"/>
                <w:szCs w:val="20"/>
                <w:color w:val="auto"/>
              </w:rPr>
            </w:pPr>
            <w:r>
              <w:rPr>
                <w:rFonts w:ascii="Arial" w:cs="Arial" w:eastAsia="Arial" w:hAnsi="Arial"/>
                <w:sz w:val="11"/>
                <w:szCs w:val="11"/>
                <w:color w:val="auto"/>
              </w:rPr>
              <w:t>with weighted average</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600" w:type="dxa"/>
            <w:vAlign w:val="bottom"/>
            <w:vMerge w:val="continue"/>
          </w:tcPr>
          <w:p>
            <w:pPr>
              <w:spacing w:after="0"/>
              <w:rPr>
                <w:sz w:val="12"/>
                <w:szCs w:val="12"/>
                <w:color w:val="auto"/>
              </w:rPr>
            </w:pPr>
          </w:p>
        </w:tc>
        <w:tc>
          <w:tcPr>
            <w:tcW w:w="1560" w:type="dxa"/>
            <w:vAlign w:val="bottom"/>
          </w:tcPr>
          <w:p>
            <w:pPr>
              <w:ind w:left="140"/>
              <w:spacing w:after="0"/>
              <w:rPr>
                <w:sz w:val="20"/>
                <w:szCs w:val="20"/>
                <w:color w:val="auto"/>
              </w:rPr>
            </w:pPr>
            <w:r>
              <w:rPr>
                <w:rFonts w:ascii="Arial" w:cs="Arial" w:eastAsia="Arial" w:hAnsi="Arial"/>
                <w:sz w:val="11"/>
                <w:szCs w:val="11"/>
                <w:color w:val="auto"/>
              </w:rPr>
              <w:t>delayed amounts of $19.</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-878205</wp:posOffset>
            </wp:positionV>
            <wp:extent cx="713232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Home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ind w:left="1560"/>
        <w:spacing w:after="0"/>
        <w:rPr>
          <w:sz w:val="20"/>
          <w:szCs w:val="20"/>
          <w:color w:val="auto"/>
        </w:rPr>
      </w:pPr>
      <w:r>
        <w:rPr>
          <w:rFonts w:ascii="Arial" w:cs="Arial" w:eastAsia="Arial" w:hAnsi="Arial"/>
          <w:sz w:val="11"/>
          <w:szCs w:val="11"/>
          <w:color w:val="auto"/>
        </w:rPr>
        <w:t>Reduced the weighted</w:t>
      </w:r>
    </w:p>
    <w:p>
      <w:pPr>
        <w:ind w:left="1560"/>
        <w:spacing w:after="0" w:line="225" w:lineRule="auto"/>
        <w:rPr>
          <w:sz w:val="20"/>
          <w:szCs w:val="20"/>
          <w:color w:val="auto"/>
        </w:rPr>
      </w:pPr>
      <w:r>
        <w:rPr>
          <w:rFonts w:ascii="Arial" w:cs="Arial" w:eastAsia="Arial" w:hAnsi="Arial"/>
          <w:sz w:val="10"/>
          <w:szCs w:val="10"/>
          <w:color w:val="auto"/>
        </w:rPr>
        <w:t>average contractual interest</w:t>
      </w:r>
    </w:p>
    <w:p>
      <w:pPr>
        <w:ind w:left="1560"/>
        <w:spacing w:after="0" w:line="205" w:lineRule="auto"/>
        <w:rPr>
          <w:sz w:val="20"/>
          <w:szCs w:val="20"/>
          <w:color w:val="auto"/>
        </w:rPr>
      </w:pPr>
      <w:r>
        <w:rPr>
          <w:rFonts w:ascii="Arial" w:cs="Arial" w:eastAsia="Arial" w:hAnsi="Arial"/>
          <w:sz w:val="11"/>
          <w:szCs w:val="11"/>
          <w:color w:val="auto"/>
        </w:rPr>
        <w:t>rate from 7.16% to 5.86%</w:t>
      </w:r>
    </w:p>
    <w:p>
      <w:pPr>
        <w:ind w:left="1560"/>
        <w:spacing w:after="0" w:line="205" w:lineRule="auto"/>
        <w:rPr>
          <w:sz w:val="20"/>
          <w:szCs w:val="20"/>
          <w:color w:val="auto"/>
        </w:rPr>
      </w:pPr>
      <w:r>
        <w:rPr>
          <w:rFonts w:ascii="Arial" w:cs="Arial" w:eastAsia="Arial" w:hAnsi="Arial"/>
          <w:sz w:val="11"/>
          <w:szCs w:val="11"/>
          <w:color w:val="auto"/>
        </w:rPr>
        <w:t>and extended loans by a</w:t>
      </w:r>
    </w:p>
    <w:p>
      <w:pPr>
        <w:ind w:left="1560"/>
        <w:spacing w:after="0" w:line="205" w:lineRule="auto"/>
        <w:rPr>
          <w:sz w:val="20"/>
          <w:szCs w:val="20"/>
          <w:color w:val="auto"/>
        </w:rPr>
      </w:pPr>
      <w:r>
        <w:rPr>
          <w:rFonts w:ascii="Arial" w:cs="Arial" w:eastAsia="Arial" w:hAnsi="Arial"/>
          <w:sz w:val="11"/>
          <w:szCs w:val="11"/>
          <w:color w:val="auto"/>
        </w:rPr>
        <w:t>weighted average of 60</w:t>
      </w:r>
    </w:p>
    <w:p>
      <w:pPr>
        <w:ind w:left="1560"/>
        <w:spacing w:after="0"/>
        <w:rPr>
          <w:sz w:val="20"/>
          <w:szCs w:val="20"/>
          <w:color w:val="auto"/>
        </w:rPr>
      </w:pPr>
      <w:r>
        <w:rPr>
          <w:rFonts w:ascii="Arial" w:cs="Arial" w:eastAsia="Arial" w:hAnsi="Arial"/>
          <w:sz w:val="11"/>
          <w:szCs w:val="11"/>
          <w:color w:val="auto"/>
        </w:rPr>
        <w:t>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color w:val="auto"/>
        </w:rPr>
        <w:t>Provided payment deferrals</w:t>
      </w:r>
    </w:p>
    <w:p>
      <w:pPr>
        <w:spacing w:after="0" w:line="204" w:lineRule="auto"/>
        <w:rPr>
          <w:sz w:val="20"/>
          <w:szCs w:val="20"/>
          <w:color w:val="auto"/>
        </w:rPr>
      </w:pPr>
      <w:r>
        <w:rPr>
          <w:rFonts w:ascii="Arial" w:cs="Arial" w:eastAsia="Arial" w:hAnsi="Arial"/>
          <w:sz w:val="11"/>
          <w:szCs w:val="11"/>
          <w:color w:val="auto"/>
        </w:rPr>
        <w:t>with weighted average</w:t>
      </w:r>
    </w:p>
    <w:p>
      <w:pPr>
        <w:spacing w:after="0" w:line="205" w:lineRule="auto"/>
        <w:rPr>
          <w:sz w:val="20"/>
          <w:szCs w:val="20"/>
          <w:color w:val="auto"/>
        </w:rPr>
      </w:pPr>
      <w:r>
        <w:rPr>
          <w:rFonts w:ascii="Arial" w:cs="Arial" w:eastAsia="Arial" w:hAnsi="Arial"/>
          <w:sz w:val="11"/>
          <w:szCs w:val="11"/>
          <w:color w:val="auto"/>
        </w:rPr>
        <w:t>delayed amounts of $63 and</w:t>
      </w:r>
    </w:p>
    <w:p>
      <w:pPr>
        <w:spacing w:after="0" w:line="205" w:lineRule="auto"/>
        <w:rPr>
          <w:sz w:val="20"/>
          <w:szCs w:val="20"/>
          <w:color w:val="auto"/>
        </w:rPr>
      </w:pPr>
      <w:r>
        <w:rPr>
          <w:rFonts w:ascii="Arial" w:cs="Arial" w:eastAsia="Arial" w:hAnsi="Arial"/>
          <w:sz w:val="11"/>
          <w:szCs w:val="11"/>
          <w:color w:val="auto"/>
        </w:rPr>
        <w:t>extended loans by a</w:t>
      </w:r>
    </w:p>
    <w:p>
      <w:pPr>
        <w:spacing w:after="0" w:line="205" w:lineRule="auto"/>
        <w:rPr>
          <w:sz w:val="20"/>
          <w:szCs w:val="20"/>
          <w:color w:val="auto"/>
        </w:rPr>
      </w:pPr>
      <w:r>
        <w:rPr>
          <w:rFonts w:ascii="Arial" w:cs="Arial" w:eastAsia="Arial" w:hAnsi="Arial"/>
          <w:sz w:val="11"/>
          <w:szCs w:val="11"/>
          <w:color w:val="auto"/>
        </w:rPr>
        <w:t>weighted average of 60</w:t>
      </w:r>
    </w:p>
    <w:p>
      <w:pPr>
        <w:spacing w:after="0"/>
        <w:rPr>
          <w:sz w:val="20"/>
          <w:szCs w:val="20"/>
          <w:color w:val="auto"/>
        </w:rPr>
      </w:pPr>
      <w:r>
        <w:rPr>
          <w:rFonts w:ascii="Arial" w:cs="Arial" w:eastAsia="Arial" w:hAnsi="Arial"/>
          <w:sz w:val="11"/>
          <w:szCs w:val="11"/>
          <w:color w:val="auto"/>
        </w:rPr>
        <w:t>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12" w:lineRule="auto"/>
        <w:rPr>
          <w:sz w:val="20"/>
          <w:szCs w:val="20"/>
          <w:color w:val="auto"/>
        </w:rPr>
      </w:pPr>
      <w:r>
        <w:rPr>
          <w:rFonts w:ascii="Arial" w:cs="Arial" w:eastAsia="Arial" w:hAnsi="Arial"/>
          <w:sz w:val="11"/>
          <w:szCs w:val="11"/>
          <w:color w:val="auto"/>
        </w:rPr>
        <w:t>Reduced the weighted average contractual interest rate from 6.81% to 2.00%, extended loans by a weighted average of 79 months, and provided payment deferrals with weighted average delayed amounts of $13.</w:t>
      </w:r>
    </w:p>
    <w:p>
      <w:pPr>
        <w:spacing w:after="0" w:line="896" w:lineRule="exact"/>
        <w:rPr>
          <w:sz w:val="20"/>
          <w:szCs w:val="20"/>
          <w:color w:val="auto"/>
        </w:rPr>
      </w:pPr>
    </w:p>
    <w:p>
      <w:pPr>
        <w:sectPr>
          <w:pgSz w:w="11900" w:h="16838" w:orient="portrait"/>
          <w:cols w:equalWidth="0" w:num="3">
            <w:col w:w="5960" w:space="720"/>
            <w:col w:w="2880" w:space="240"/>
            <w:col w:w="1440"/>
          </w:cols>
          <w:pgMar w:left="320" w:top="354" w:right="339" w:bottom="1440" w:gutter="0" w:footer="0" w:header="0"/>
          <w:type w:val="continuous"/>
        </w:sect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0" w:type="dxa"/>
            <w:vAlign w:val="bottom"/>
            <w:gridSpan w:val="7"/>
          </w:tcPr>
          <w:p>
            <w:pPr>
              <w:jc w:val="center"/>
              <w:ind w:right="100"/>
              <w:spacing w:after="0"/>
              <w:rPr>
                <w:sz w:val="20"/>
                <w:szCs w:val="20"/>
                <w:color w:val="auto"/>
              </w:rPr>
            </w:pPr>
            <w:r>
              <w:rPr>
                <w:rFonts w:ascii="Arial" w:cs="Arial" w:eastAsia="Arial" w:hAnsi="Arial"/>
                <w:sz w:val="11"/>
                <w:szCs w:val="11"/>
                <w:b w:val="1"/>
                <w:bCs w:val="1"/>
                <w:color w:val="auto"/>
                <w:w w:val="98"/>
              </w:rPr>
              <w:t>Nine Months Ended September 30, 2025</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540" w:type="dxa"/>
            <w:vAlign w:val="bottom"/>
            <w:gridSpan w:val="6"/>
          </w:tcPr>
          <w:p>
            <w:pPr>
              <w:jc w:val="center"/>
              <w:ind w:right="1560"/>
              <w:spacing w:after="0"/>
              <w:rPr>
                <w:sz w:val="20"/>
                <w:szCs w:val="20"/>
                <w:color w:val="auto"/>
              </w:rPr>
            </w:pPr>
            <w:r>
              <w:rPr>
                <w:rFonts w:ascii="Arial" w:cs="Arial" w:eastAsia="Arial" w:hAnsi="Arial"/>
                <w:sz w:val="11"/>
                <w:szCs w:val="11"/>
                <w:b w:val="1"/>
                <w:bCs w:val="1"/>
                <w:color w:val="auto"/>
                <w:w w:val="97"/>
              </w:rPr>
              <w:t>Financial Effect of Loan Modifications</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Combination Interest Rate</w:t>
            </w:r>
          </w:p>
        </w:tc>
        <w:tc>
          <w:tcPr>
            <w:tcW w:w="1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Combination Interest Rate</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56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Payment Delay</w:t>
            </w:r>
          </w:p>
        </w:tc>
        <w:tc>
          <w:tcPr>
            <w:tcW w:w="100" w:type="dxa"/>
            <w:vAlign w:val="bottom"/>
            <w:vMerge w:val="restart"/>
          </w:tcPr>
          <w:p>
            <w:pPr>
              <w:spacing w:after="0"/>
              <w:rPr>
                <w:sz w:val="9"/>
                <w:szCs w:val="9"/>
                <w:color w:val="auto"/>
              </w:rPr>
            </w:pPr>
          </w:p>
        </w:tc>
        <w:tc>
          <w:tcPr>
            <w:tcW w:w="146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Term Extension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Interest Rate Reduction</w:t>
            </w:r>
          </w:p>
        </w:tc>
        <w:tc>
          <w:tcPr>
            <w:tcW w:w="100" w:type="dxa"/>
            <w:vAlign w:val="bottom"/>
            <w:vMerge w:val="restart"/>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Reduction, Term Extension &amp;</w:t>
            </w:r>
          </w:p>
        </w:tc>
        <w:tc>
          <w:tcPr>
            <w:tcW w:w="0" w:type="dxa"/>
            <w:vAlign w:val="bottom"/>
          </w:tcPr>
          <w:p>
            <w:pPr>
              <w:spacing w:after="0"/>
              <w:rPr>
                <w:sz w:val="1"/>
                <w:szCs w:val="1"/>
                <w:color w:val="auto"/>
              </w:rPr>
            </w:pPr>
          </w:p>
        </w:tc>
      </w:tr>
      <w:tr>
        <w:trPr>
          <w:trHeight w:val="155"/>
        </w:trPr>
        <w:tc>
          <w:tcPr>
            <w:tcW w:w="30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9"/>
              </w:rPr>
              <w:t>Reduction &amp; Term Extension</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Payment Delay</w:t>
            </w:r>
          </w:p>
        </w:tc>
        <w:tc>
          <w:tcPr>
            <w:tcW w:w="0" w:type="dxa"/>
            <w:vAlign w:val="bottom"/>
          </w:tcPr>
          <w:p>
            <w:pPr>
              <w:spacing w:after="0"/>
              <w:rPr>
                <w:sz w:val="1"/>
                <w:szCs w:val="1"/>
                <w:color w:val="auto"/>
              </w:rPr>
            </w:pPr>
          </w:p>
        </w:tc>
      </w:tr>
      <w:tr>
        <w:trPr>
          <w:trHeight w:val="108"/>
        </w:trPr>
        <w:tc>
          <w:tcPr>
            <w:tcW w:w="4680" w:type="dxa"/>
            <w:vAlign w:val="bottom"/>
            <w:gridSpan w:val="3"/>
            <w:vMerge w:val="restart"/>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14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w w:val="96"/>
              </w:rPr>
              <w:t>Extended loans by a weighted</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680" w:type="dxa"/>
            <w:vAlign w:val="bottom"/>
            <w:gridSpan w:val="3"/>
            <w:vMerge w:val="continue"/>
            <w:shd w:val="clear" w:color="auto" w:fill="CCEEFF"/>
          </w:tcPr>
          <w:p>
            <w:pPr>
              <w:spacing w:after="0"/>
              <w:rPr>
                <w:sz w:val="14"/>
                <w:szCs w:val="14"/>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average of 4 months.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3"/>
          </w:tcPr>
          <w:p>
            <w:pPr>
              <w:ind w:left="20"/>
              <w:spacing w:after="0"/>
              <w:rPr>
                <w:sz w:val="20"/>
                <w:szCs w:val="20"/>
                <w:color w:val="auto"/>
              </w:rPr>
            </w:pPr>
            <w:r>
              <w:rPr>
                <w:rFonts w:ascii="Arial" w:cs="Arial" w:eastAsia="Arial" w:hAnsi="Arial"/>
                <w:sz w:val="11"/>
                <w:szCs w:val="11"/>
                <w:color w:val="auto"/>
              </w:rPr>
              <w:t>Real estate loans: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0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60" w:type="dxa"/>
            <w:vAlign w:val="bottom"/>
            <w:gridSpan w:val="2"/>
            <w:shd w:val="clear" w:color="auto" w:fill="CCEEFF"/>
          </w:tcPr>
          <w:p>
            <w:pPr>
              <w:ind w:left="20"/>
              <w:spacing w:after="0" w:line="109" w:lineRule="exact"/>
              <w:rPr>
                <w:sz w:val="20"/>
                <w:szCs w:val="20"/>
                <w:color w:val="auto"/>
              </w:rPr>
            </w:pPr>
            <w:r>
              <w:rPr>
                <w:rFonts w:ascii="Arial" w:cs="Arial" w:eastAsia="Arial" w:hAnsi="Arial"/>
                <w:sz w:val="11"/>
                <w:szCs w:val="11"/>
                <w:color w:val="auto"/>
              </w:rPr>
              <w:t>Reduced the weighted average</w:t>
            </w: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1"/>
                <w:szCs w:val="11"/>
                <w:color w:val="auto"/>
                <w:w w:val="98"/>
              </w:rPr>
              <w:t>Reduced the weighted average</w:t>
            </w:r>
          </w:p>
        </w:tc>
        <w:tc>
          <w:tcPr>
            <w:tcW w:w="16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contractual interest rate from</w:t>
            </w: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w w:val="96"/>
              </w:rPr>
              <w:t>Extended loans by a weighted</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60" w:type="dxa"/>
            <w:vAlign w:val="bottom"/>
            <w:gridSpan w:val="2"/>
            <w:vMerge w:val="continue"/>
            <w:shd w:val="clear" w:color="auto" w:fill="CCEEFF"/>
          </w:tcPr>
          <w:p>
            <w:pPr>
              <w:spacing w:after="0"/>
              <w:rPr>
                <w:sz w:val="9"/>
                <w:szCs w:val="9"/>
                <w:color w:val="auto"/>
              </w:rPr>
            </w:pPr>
          </w:p>
        </w:tc>
        <w:tc>
          <w:tcPr>
            <w:tcW w:w="16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13.18% to 7.22%. Extended</w:t>
            </w: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80" w:type="dxa"/>
            <w:vAlign w:val="bottom"/>
            <w:gridSpan w:val="3"/>
            <w:vMerge w:val="restart"/>
            <w:shd w:val="clear" w:color="auto" w:fill="CCEEFF"/>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14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contractual interest rate from</w:t>
            </w:r>
          </w:p>
        </w:tc>
        <w:tc>
          <w:tcPr>
            <w:tcW w:w="16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loans by a weighted average of</w:t>
            </w: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80" w:type="dxa"/>
            <w:vAlign w:val="bottom"/>
            <w:gridSpan w:val="3"/>
            <w:vMerge w:val="continue"/>
            <w:shd w:val="clear" w:color="auto" w:fill="CCEEFF"/>
          </w:tcPr>
          <w:p>
            <w:pPr>
              <w:spacing w:after="0"/>
              <w:rPr>
                <w:sz w:val="12"/>
                <w:szCs w:val="12"/>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average of 7 months.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7.58% to 6.93%.</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10 months.</w:t>
            </w: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54"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1660" w:type="dxa"/>
            <w:vAlign w:val="bottom"/>
          </w:tcPr>
          <w:p>
            <w:pPr>
              <w:spacing w:after="0"/>
              <w:rPr>
                <w:sz w:val="10"/>
                <w:szCs w:val="10"/>
                <w:color w:val="auto"/>
              </w:rPr>
            </w:pPr>
          </w:p>
        </w:tc>
        <w:tc>
          <w:tcPr>
            <w:tcW w:w="2620" w:type="dxa"/>
            <w:vAlign w:val="bottom"/>
          </w:tcPr>
          <w:p>
            <w:pPr>
              <w:ind w:left="1140"/>
              <w:spacing w:after="0"/>
              <w:rPr>
                <w:sz w:val="20"/>
                <w:szCs w:val="20"/>
                <w:color w:val="auto"/>
              </w:rPr>
            </w:pPr>
            <w:r>
              <w:rPr>
                <w:rFonts w:ascii="Arial" w:cs="Arial" w:eastAsia="Arial" w:hAnsi="Arial"/>
                <w:sz w:val="11"/>
                <w:szCs w:val="11"/>
                <w:color w:val="auto"/>
              </w:rPr>
              <w:t>Provided payment deferrals</w:t>
            </w:r>
          </w:p>
        </w:tc>
        <w:tc>
          <w:tcPr>
            <w:tcW w:w="0" w:type="dxa"/>
            <w:vAlign w:val="bottom"/>
          </w:tcPr>
          <w:p>
            <w:pPr>
              <w:spacing w:after="0"/>
              <w:rPr>
                <w:sz w:val="1"/>
                <w:szCs w:val="1"/>
                <w:color w:val="auto"/>
              </w:rPr>
            </w:pPr>
          </w:p>
        </w:tc>
      </w:tr>
      <w:tr>
        <w:trPr>
          <w:trHeight w:val="108"/>
        </w:trPr>
        <w:tc>
          <w:tcPr>
            <w:tcW w:w="1660" w:type="dxa"/>
            <w:vAlign w:val="bottom"/>
            <w:vMerge w:val="restart"/>
          </w:tcPr>
          <w:p>
            <w:pPr>
              <w:spacing w:after="0"/>
              <w:rPr>
                <w:sz w:val="20"/>
                <w:szCs w:val="20"/>
                <w:color w:val="auto"/>
              </w:rPr>
            </w:pPr>
            <w:r>
              <w:rPr>
                <w:rFonts w:ascii="Arial" w:cs="Arial" w:eastAsia="Arial" w:hAnsi="Arial"/>
                <w:sz w:val="11"/>
                <w:szCs w:val="11"/>
                <w:color w:val="auto"/>
              </w:rPr>
              <w:t>Residential</w:t>
            </w:r>
          </w:p>
        </w:tc>
        <w:tc>
          <w:tcPr>
            <w:tcW w:w="2620" w:type="dxa"/>
            <w:vAlign w:val="bottom"/>
          </w:tcPr>
          <w:p>
            <w:pPr>
              <w:ind w:left="1140"/>
              <w:spacing w:after="0" w:line="108" w:lineRule="exact"/>
              <w:rPr>
                <w:sz w:val="20"/>
                <w:szCs w:val="20"/>
                <w:color w:val="auto"/>
              </w:rPr>
            </w:pPr>
            <w:r>
              <w:rPr>
                <w:rFonts w:ascii="Arial" w:cs="Arial" w:eastAsia="Arial" w:hAnsi="Arial"/>
                <w:sz w:val="11"/>
                <w:szCs w:val="11"/>
                <w:color w:val="auto"/>
                <w:w w:val="96"/>
              </w:rPr>
              <w:t>with weighted average delayed</w:t>
            </w:r>
          </w:p>
        </w:tc>
        <w:tc>
          <w:tcPr>
            <w:tcW w:w="0" w:type="dxa"/>
            <w:vAlign w:val="bottom"/>
          </w:tcPr>
          <w:p>
            <w:pPr>
              <w:spacing w:after="0"/>
              <w:rPr>
                <w:sz w:val="1"/>
                <w:szCs w:val="1"/>
                <w:color w:val="auto"/>
              </w:rPr>
            </w:pPr>
          </w:p>
        </w:tc>
      </w:tr>
      <w:tr>
        <w:trPr>
          <w:trHeight w:val="142"/>
        </w:trPr>
        <w:tc>
          <w:tcPr>
            <w:tcW w:w="1660" w:type="dxa"/>
            <w:vAlign w:val="bottom"/>
            <w:vMerge w:val="continue"/>
          </w:tcPr>
          <w:p>
            <w:pPr>
              <w:spacing w:after="0"/>
              <w:rPr>
                <w:sz w:val="12"/>
                <w:szCs w:val="12"/>
                <w:color w:val="auto"/>
              </w:rPr>
            </w:pPr>
          </w:p>
        </w:tc>
        <w:tc>
          <w:tcPr>
            <w:tcW w:w="2620" w:type="dxa"/>
            <w:vAlign w:val="bottom"/>
          </w:tcPr>
          <w:p>
            <w:pPr>
              <w:ind w:left="1140"/>
              <w:spacing w:after="0"/>
              <w:rPr>
                <w:sz w:val="20"/>
                <w:szCs w:val="20"/>
                <w:color w:val="auto"/>
              </w:rPr>
            </w:pPr>
            <w:r>
              <w:rPr>
                <w:rFonts w:ascii="Arial" w:cs="Arial" w:eastAsia="Arial" w:hAnsi="Arial"/>
                <w:sz w:val="11"/>
                <w:szCs w:val="11"/>
                <w:color w:val="auto"/>
              </w:rPr>
              <w:t>amounts of $26.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Reduced the weighted average</w:t>
      </w:r>
    </w:p>
    <w:p>
      <w:pPr>
        <w:spacing w:after="0" w:line="210" w:lineRule="auto"/>
        <w:rPr>
          <w:sz w:val="20"/>
          <w:szCs w:val="20"/>
          <w:color w:val="auto"/>
        </w:rPr>
      </w:pPr>
      <w:r>
        <w:rPr>
          <w:rFonts w:ascii="Arial" w:cs="Arial" w:eastAsia="Arial" w:hAnsi="Arial"/>
          <w:sz w:val="11"/>
          <w:szCs w:val="11"/>
          <w:color w:val="auto"/>
        </w:rPr>
        <w:t>contractual interest rate from</w:t>
      </w:r>
    </w:p>
    <w:p>
      <w:pPr>
        <w:spacing w:after="0" w:line="205" w:lineRule="auto"/>
        <w:rPr>
          <w:sz w:val="20"/>
          <w:szCs w:val="20"/>
          <w:color w:val="auto"/>
        </w:rPr>
      </w:pPr>
      <w:r>
        <w:rPr>
          <w:rFonts w:ascii="Arial" w:cs="Arial" w:eastAsia="Arial" w:hAnsi="Arial"/>
          <w:sz w:val="11"/>
          <w:szCs w:val="11"/>
          <w:color w:val="auto"/>
        </w:rPr>
        <w:t>4.50% to 2.50%, extended</w:t>
      </w:r>
    </w:p>
    <w:p>
      <w:pPr>
        <w:spacing w:after="0" w:line="226" w:lineRule="auto"/>
        <w:rPr>
          <w:sz w:val="20"/>
          <w:szCs w:val="20"/>
          <w:color w:val="auto"/>
        </w:rPr>
      </w:pPr>
      <w:r>
        <w:rPr>
          <w:rFonts w:ascii="Arial" w:cs="Arial" w:eastAsia="Arial" w:hAnsi="Arial"/>
          <w:sz w:val="10"/>
          <w:szCs w:val="10"/>
          <w:color w:val="auto"/>
        </w:rPr>
        <w:t>loans by a weighted average of</w:t>
      </w:r>
    </w:p>
    <w:p>
      <w:pPr>
        <w:spacing w:after="0" w:line="204" w:lineRule="auto"/>
        <w:rPr>
          <w:sz w:val="20"/>
          <w:szCs w:val="20"/>
          <w:color w:val="auto"/>
        </w:rPr>
      </w:pPr>
      <w:r>
        <w:rPr>
          <w:rFonts w:ascii="Arial" w:cs="Arial" w:eastAsia="Arial" w:hAnsi="Arial"/>
          <w:sz w:val="11"/>
          <w:szCs w:val="11"/>
          <w:color w:val="auto"/>
        </w:rPr>
        <w:t>68 months, and provided</w:t>
      </w:r>
    </w:p>
    <w:p>
      <w:pPr>
        <w:spacing w:after="0" w:line="205" w:lineRule="auto"/>
        <w:rPr>
          <w:sz w:val="20"/>
          <w:szCs w:val="20"/>
          <w:color w:val="auto"/>
        </w:rPr>
      </w:pPr>
      <w:r>
        <w:rPr>
          <w:rFonts w:ascii="Arial" w:cs="Arial" w:eastAsia="Arial" w:hAnsi="Arial"/>
          <w:sz w:val="11"/>
          <w:szCs w:val="11"/>
          <w:color w:val="auto"/>
        </w:rPr>
        <w:t>payment deferrals with</w:t>
      </w:r>
    </w:p>
    <w:p>
      <w:pPr>
        <w:spacing w:after="0" w:line="205" w:lineRule="auto"/>
        <w:rPr>
          <w:sz w:val="20"/>
          <w:szCs w:val="20"/>
          <w:color w:val="auto"/>
        </w:rPr>
      </w:pPr>
      <w:r>
        <w:rPr>
          <w:rFonts w:ascii="Arial" w:cs="Arial" w:eastAsia="Arial" w:hAnsi="Arial"/>
          <w:sz w:val="11"/>
          <w:szCs w:val="11"/>
          <w:color w:val="auto"/>
        </w:rPr>
        <w:t>weighted average delayed</w:t>
      </w:r>
    </w:p>
    <w:p>
      <w:pPr>
        <w:spacing w:after="0"/>
        <w:rPr>
          <w:sz w:val="20"/>
          <w:szCs w:val="20"/>
          <w:color w:val="auto"/>
        </w:rPr>
      </w:pPr>
      <w:r>
        <w:rPr>
          <w:rFonts w:ascii="Arial" w:cs="Arial" w:eastAsia="Arial" w:hAnsi="Arial"/>
          <w:sz w:val="11"/>
          <w:szCs w:val="11"/>
          <w:color w:val="auto"/>
        </w:rPr>
        <w:t>amounts of $8.</w:t>
      </w:r>
    </w:p>
    <w:p>
      <w:pPr>
        <w:spacing w:after="0" w:line="205" w:lineRule="exact"/>
        <w:rPr>
          <w:sz w:val="20"/>
          <w:szCs w:val="20"/>
          <w:color w:val="auto"/>
        </w:rPr>
      </w:pPr>
    </w:p>
    <w:p>
      <w:pPr>
        <w:sectPr>
          <w:pgSz w:w="11900" w:h="16838" w:orient="portrait"/>
          <w:cols w:equalWidth="0" w:num="2">
            <w:col w:w="8980" w:space="720"/>
            <w:col w:w="1540"/>
          </w:cols>
          <w:pgMar w:left="320" w:top="3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620"/>
        <w:spacing w:after="0" w:line="305" w:lineRule="auto"/>
        <w:rPr>
          <w:sz w:val="20"/>
          <w:szCs w:val="20"/>
          <w:color w:val="auto"/>
        </w:rPr>
      </w:pPr>
      <w:r>
        <w:rPr>
          <w:rFonts w:ascii="Arial" w:cs="Arial" w:eastAsia="Arial" w:hAnsi="Arial"/>
          <w:sz w:val="14"/>
          <w:szCs w:val="14"/>
          <w:color w:val="auto"/>
        </w:rPr>
        <w:t>The Corporation closely monitors the performance of financial difficulty loan modifications to understand the effectiveness of its efforts. The following tables present the performance of financial difficulty loan modifications in the twelve months following modification.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 2026</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9"/>
        </w:trPr>
        <w:tc>
          <w:tcPr>
            <w:tcW w:w="37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Current</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30-59 Days Past Due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60-89 Days Past Due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90+ Days Past Due</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Total</w:t>
            </w:r>
          </w:p>
        </w:tc>
      </w:tr>
      <w:tr>
        <w:trPr>
          <w:trHeight w:val="14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960" w:type="dxa"/>
            <w:vAlign w:val="bottom"/>
            <w:tcBorders>
              <w:bottom w:val="single" w:sz="8" w:color="CCEEFF"/>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30,997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7,217</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38,214</w:t>
            </w:r>
          </w:p>
        </w:tc>
      </w:tr>
      <w:tr>
        <w:trPr>
          <w:trHeight w:val="142"/>
        </w:trPr>
        <w:tc>
          <w:tcPr>
            <w:tcW w:w="3720" w:type="dxa"/>
            <w:vAlign w:val="bottom"/>
          </w:tcPr>
          <w:p>
            <w:pPr>
              <w:ind w:left="20"/>
              <w:spacing w:after="0"/>
              <w:rPr>
                <w:sz w:val="20"/>
                <w:szCs w:val="20"/>
                <w:color w:val="auto"/>
              </w:rPr>
            </w:pPr>
            <w:r>
              <w:rPr>
                <w:rFonts w:ascii="Arial" w:cs="Arial" w:eastAsia="Arial" w:hAnsi="Arial"/>
                <w:sz w:val="11"/>
                <w:szCs w:val="11"/>
                <w:color w:val="auto"/>
              </w:rPr>
              <w:t>Real estate loans:</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3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Construction</w:t>
            </w:r>
          </w:p>
        </w:tc>
        <w:tc>
          <w:tcPr>
            <w:tcW w:w="9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1,643</w:t>
            </w:r>
          </w:p>
        </w:tc>
      </w:tr>
      <w:tr>
        <w:trPr>
          <w:trHeight w:val="142"/>
        </w:trPr>
        <w:tc>
          <w:tcPr>
            <w:tcW w:w="3720" w:type="dxa"/>
            <w:vAlign w:val="bottom"/>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96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4,037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5,054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9,091</w:t>
            </w:r>
          </w:p>
        </w:tc>
      </w:tr>
      <w:tr>
        <w:trPr>
          <w:trHeight w:val="20"/>
        </w:trPr>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2"/>
        </w:trPr>
        <w:tc>
          <w:tcPr>
            <w:tcW w:w="37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Commercial real estate, owner occupied</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4,177</w:t>
            </w:r>
          </w:p>
        </w:tc>
      </w:tr>
      <w:tr>
        <w:trPr>
          <w:trHeight w:val="142"/>
        </w:trPr>
        <w:tc>
          <w:tcPr>
            <w:tcW w:w="3720" w:type="dxa"/>
            <w:vAlign w:val="bottom"/>
          </w:tcPr>
          <w:p>
            <w:pPr>
              <w:ind w:left="240"/>
              <w:spacing w:after="0"/>
              <w:rPr>
                <w:sz w:val="20"/>
                <w:szCs w:val="20"/>
                <w:color w:val="auto"/>
              </w:rPr>
            </w:pPr>
            <w:r>
              <w:rPr>
                <w:rFonts w:ascii="Arial" w:cs="Arial" w:eastAsia="Arial" w:hAnsi="Arial"/>
                <w:sz w:val="11"/>
                <w:szCs w:val="11"/>
                <w:color w:val="auto"/>
              </w:rPr>
              <w:t>Residential</w:t>
            </w:r>
          </w:p>
        </w:tc>
        <w:tc>
          <w:tcPr>
            <w:tcW w:w="96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1,669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1,901</w:t>
            </w:r>
          </w:p>
        </w:tc>
      </w:tr>
      <w:tr>
        <w:trPr>
          <w:trHeight w:val="20"/>
        </w:trPr>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5"/>
        </w:trPr>
        <w:tc>
          <w:tcPr>
            <w:tcW w:w="37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Home equity</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373</w:t>
            </w:r>
          </w:p>
        </w:tc>
      </w:tr>
      <w:tr>
        <w:trPr>
          <w:trHeight w:val="162"/>
        </w:trPr>
        <w:tc>
          <w:tcPr>
            <w:tcW w:w="372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Total</w:t>
            </w:r>
          </w:p>
        </w:tc>
        <w:tc>
          <w:tcPr>
            <w:tcW w:w="96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42,896</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5,054</w:t>
            </w: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232</w:t>
            </w: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7,217</w:t>
            </w: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55,399</w:t>
            </w:r>
          </w:p>
        </w:tc>
      </w:tr>
      <w:tr>
        <w:trPr>
          <w:trHeight w:val="20"/>
        </w:trPr>
        <w:tc>
          <w:tcPr>
            <w:tcW w:w="3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 2025</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0"/>
        </w:trPr>
        <w:tc>
          <w:tcPr>
            <w:tcW w:w="37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Current</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30-59 Days Past Due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60-89 Days Past Due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90+ Days Past Due</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Total</w:t>
            </w:r>
          </w:p>
        </w:tc>
      </w:tr>
      <w:tr>
        <w:trPr>
          <w:trHeight w:val="14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960" w:type="dxa"/>
            <w:vAlign w:val="bottom"/>
            <w:tcBorders>
              <w:bottom w:val="single" w:sz="8" w:color="CCEEFF"/>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9,561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3,278</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12,839</w:t>
            </w:r>
          </w:p>
        </w:tc>
      </w:tr>
      <w:tr>
        <w:trPr>
          <w:trHeight w:val="152"/>
        </w:trPr>
        <w:tc>
          <w:tcPr>
            <w:tcW w:w="3720" w:type="dxa"/>
            <w:vAlign w:val="bottom"/>
          </w:tcPr>
          <w:p>
            <w:pPr>
              <w:ind w:left="20"/>
              <w:spacing w:after="0"/>
              <w:rPr>
                <w:sz w:val="20"/>
                <w:szCs w:val="20"/>
                <w:color w:val="auto"/>
              </w:rPr>
            </w:pPr>
            <w:r>
              <w:rPr>
                <w:rFonts w:ascii="Arial" w:cs="Arial" w:eastAsia="Arial" w:hAnsi="Arial"/>
                <w:sz w:val="11"/>
                <w:szCs w:val="11"/>
                <w:color w:val="auto"/>
              </w:rPr>
              <w:t>Agricultural land, production and other loans to farmers</w:t>
            </w:r>
          </w:p>
        </w:tc>
        <w:tc>
          <w:tcPr>
            <w:tcW w:w="96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2,177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2,177</w:t>
            </w:r>
          </w:p>
        </w:tc>
      </w:tr>
      <w:tr>
        <w:trPr>
          <w:trHeight w:val="1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9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42"/>
        </w:trPr>
        <w:tc>
          <w:tcPr>
            <w:tcW w:w="3720" w:type="dxa"/>
            <w:vAlign w:val="bottom"/>
          </w:tcPr>
          <w:p>
            <w:pPr>
              <w:ind w:left="240"/>
              <w:spacing w:after="0"/>
              <w:rPr>
                <w:sz w:val="20"/>
                <w:szCs w:val="20"/>
                <w:color w:val="auto"/>
              </w:rPr>
            </w:pPr>
            <w:r>
              <w:rPr>
                <w:rFonts w:ascii="Arial" w:cs="Arial" w:eastAsia="Arial" w:hAnsi="Arial"/>
                <w:sz w:val="11"/>
                <w:szCs w:val="11"/>
                <w:color w:val="auto"/>
              </w:rPr>
              <w:t>Commercial real estate, non-owner occupied</w:t>
            </w:r>
          </w:p>
        </w:tc>
        <w:tc>
          <w:tcPr>
            <w:tcW w:w="960" w:type="dxa"/>
            <w:vAlign w:val="bottom"/>
          </w:tcPr>
          <w:p>
            <w:pPr>
              <w:spacing w:after="0"/>
              <w:rPr>
                <w:sz w:val="12"/>
                <w:szCs w:val="12"/>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65,717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65,717</w:t>
            </w:r>
          </w:p>
        </w:tc>
      </w:tr>
      <w:tr>
        <w:trPr>
          <w:trHeight w:val="20"/>
        </w:trPr>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3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Residential</w:t>
            </w:r>
          </w:p>
        </w:tc>
        <w:tc>
          <w:tcPr>
            <w:tcW w:w="9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4,275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351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1,764</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7,037</w:t>
            </w:r>
          </w:p>
        </w:tc>
      </w:tr>
      <w:tr>
        <w:trPr>
          <w:trHeight w:val="155"/>
        </w:trPr>
        <w:tc>
          <w:tcPr>
            <w:tcW w:w="3720" w:type="dxa"/>
            <w:vAlign w:val="bottom"/>
          </w:tcPr>
          <w:p>
            <w:pPr>
              <w:ind w:left="240"/>
              <w:spacing w:after="0"/>
              <w:rPr>
                <w:sz w:val="20"/>
                <w:szCs w:val="20"/>
                <w:color w:val="auto"/>
              </w:rPr>
            </w:pPr>
            <w:r>
              <w:rPr>
                <w:rFonts w:ascii="Arial" w:cs="Arial" w:eastAsia="Arial" w:hAnsi="Arial"/>
                <w:sz w:val="11"/>
                <w:szCs w:val="11"/>
                <w:color w:val="auto"/>
              </w:rPr>
              <w:t>Home equity</w:t>
            </w:r>
          </w:p>
        </w:tc>
        <w:tc>
          <w:tcPr>
            <w:tcW w:w="960" w:type="dxa"/>
            <w:vAlign w:val="bottom"/>
          </w:tcPr>
          <w:p>
            <w:pPr>
              <w:spacing w:after="0"/>
              <w:rPr>
                <w:sz w:val="13"/>
                <w:szCs w:val="13"/>
                <w:color w:val="auto"/>
              </w:rPr>
            </w:pP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155</w:t>
            </w:r>
          </w:p>
        </w:tc>
      </w:tr>
      <w:tr>
        <w:trPr>
          <w:trHeight w:val="187"/>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96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81,885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5,042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87,925</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320"/>
        <w:spacing w:after="0" w:line="305" w:lineRule="auto"/>
        <w:rPr>
          <w:sz w:val="20"/>
          <w:szCs w:val="20"/>
          <w:color w:val="auto"/>
        </w:rPr>
      </w:pPr>
      <w:r>
        <w:rPr>
          <w:rFonts w:ascii="Arial" w:cs="Arial" w:eastAsia="Arial" w:hAnsi="Arial"/>
          <w:sz w:val="14"/>
          <w:szCs w:val="14"/>
          <w:color w:val="auto"/>
        </w:rPr>
        <w:t>During the nine months ended September 30, 2026 and 2025, there were payment defaults of $7.2 million and $5.0 million, respectively, on loans to borrowers whose loans were modified due to financial difficulties within the previous twelve months. The payment defaults did not materially impact the allowance for credit losses on loans.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Upon the Corporation's determination that a modified loan (or portion of a loan) has subsequently been deemed uncollectible, the loan (or portion of the loan) is charged-off.</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Therefore, the amortized cost basis of the loan is reduced by the uncollectible amount and the allowance for credit losses is adjusted by the same amount.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Purchased Credit-Deteriorated Loans</w:t>
      </w:r>
    </w:p>
    <w:p>
      <w:pPr>
        <w:spacing w:after="0" w:line="258" w:lineRule="exact"/>
        <w:rPr>
          <w:sz w:val="20"/>
          <w:szCs w:val="20"/>
          <w:color w:val="auto"/>
        </w:rPr>
      </w:pPr>
    </w:p>
    <w:p>
      <w:pPr>
        <w:ind w:right="500"/>
        <w:spacing w:after="0" w:line="278" w:lineRule="auto"/>
        <w:rPr>
          <w:sz w:val="20"/>
          <w:szCs w:val="20"/>
          <w:color w:val="auto"/>
        </w:rPr>
      </w:pPr>
      <w:r>
        <w:rPr>
          <w:rFonts w:ascii="Arial" w:cs="Arial" w:eastAsia="Arial" w:hAnsi="Arial"/>
          <w:sz w:val="14"/>
          <w:szCs w:val="14"/>
          <w:color w:val="auto"/>
        </w:rPr>
        <w:t>The Corporation acquired First Savings on February 1, 2026 and performed an evaluation of the acquired loan portfolio, identifying loans that had more-than-insignificant deterioration in credit quality since origination at the acquisition date. The carrying amount of those loans is shown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0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color w:val="auto"/>
              </w:rPr>
              <w:t>First Savings</w:t>
            </w:r>
          </w:p>
        </w:tc>
      </w:tr>
      <w:tr>
        <w:trPr>
          <w:trHeight w:val="162"/>
        </w:trPr>
        <w:tc>
          <w:tcPr>
            <w:tcW w:w="9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price of PCD loans at acquisition</w:t>
            </w:r>
          </w:p>
        </w:tc>
        <w:tc>
          <w:tcPr>
            <w:tcW w:w="44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1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14,869</w:t>
            </w:r>
          </w:p>
        </w:tc>
      </w:tr>
      <w:tr>
        <w:trPr>
          <w:trHeight w:val="155"/>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CECL Day 1 PCD ACL - loans</w:t>
            </w:r>
          </w:p>
        </w:tc>
        <w:tc>
          <w:tcPr>
            <w:tcW w:w="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7,067</w:t>
            </w:r>
          </w:p>
        </w:tc>
      </w:tr>
      <w:tr>
        <w:trPr>
          <w:trHeight w:val="187"/>
        </w:trPr>
        <w:tc>
          <w:tcPr>
            <w:tcW w:w="9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Par value of acquired PCD loans at acquisition</w:t>
            </w:r>
          </w:p>
        </w:tc>
        <w:tc>
          <w:tcPr>
            <w:tcW w:w="44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1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21,936</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Allowance for Credit Losses on Loans</w:t>
      </w:r>
    </w:p>
    <w:p>
      <w:pPr>
        <w:spacing w:after="0" w:line="258"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Allowance for Credit Losses on Loans ("ACL - Loans") is a valuation account that is deducted from the amortized cost basis of loans to present the net amount expected to be collected on loans over the contractual term. The ACL - Loans is adjusted by the provision for credit losses, which is reported in earnings, and reduced by charge-offs for loans, net of recoveries. Provision for credit losses on loans reflects the totality of actions taken on all loans for a particular period including any necessary increases or decreases in the allowance related to changes in credit loss expectations associated with specific loans or pools of loans. Loans are charged-off against the allowance when the uncollectibility of the loan is confirmed. Expected recoveries do not exceed the aggregate of amounts previously charged-off and expected to be charged-off.</w:t>
      </w:r>
    </w:p>
    <w:p>
      <w:pPr>
        <w:spacing w:after="0" w:line="211"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The allowance represents the Corporation’s best estimate of current expected credit losses on loans using relevant available information from internal and external sources, related to past events, current conditions, and reasonable and supportable forecasts. Historical credit loss experience provides the basis for the estimation of expected credit losses. The Current Expected Credit Losses ("CECL") calculation is performed and evaluated quarterly and losses are estimated over the expected life of the loan. The level of the ACL - Loans is believed to be adequate to absorb all expected future losses inherent in the loan portfolio at the measurement date.</w:t>
      </w:r>
    </w:p>
    <w:p>
      <w:pPr>
        <w:spacing w:after="0" w:line="210"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In calculating the ACL - Loans, the loan portfolio was pooled into twelve loan segments with similar risk characteristics. Common characteristics include the type or purpose of the loan, underlying collateral and historical/expected credit loss patterns. In developing the loan segments, the Corporation analyzed the degree of correlation in how loans within each portfolio respond when subjected to varying economic conditions and scenarios as well as other portfolio stress factors.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expected credit losses are measured over the life of each loan segment utilizing the Probability of Default / Loss Given Default methodology combined with economic forecast models to estimate the current expected credit loss inherent in the loan portfolio. This approach is also leveraged to estimate the expected credit losses associated with unfunded loan commitments incorporating expected utilization rates.</w:t>
      </w:r>
    </w:p>
    <w:p>
      <w:pPr>
        <w:spacing w:after="0" w:line="186"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The Corporation sub-segmented certain commercial portfolios by risk level and certain consumer portfolios by delinquency status where appropriate. The Corporation utilized a four-quarter reasonable and supportable economic forecast period followed by a six-quarter, straight-line reversion period to the historical macroeconomic mean for the remaining life of the loans. Econometric modeling was performed using historical default rates and a selection of economic forecast scenarios published by Moody’s to develop a range of estimated credit losses for which to</w:t>
      </w:r>
    </w:p>
    <w:p>
      <w:pPr>
        <w:spacing w:after="0" w:line="2" w:lineRule="exact"/>
        <w:rPr>
          <w:sz w:val="20"/>
          <w:szCs w:val="20"/>
          <w:color w:val="auto"/>
        </w:rPr>
      </w:pPr>
    </w:p>
    <w:p>
      <w:pPr>
        <w:ind w:right="500"/>
        <w:spacing w:after="0" w:line="264" w:lineRule="auto"/>
        <w:rPr>
          <w:sz w:val="20"/>
          <w:szCs w:val="20"/>
          <w:color w:val="auto"/>
        </w:rPr>
      </w:pPr>
      <w:r>
        <w:rPr>
          <w:rFonts w:ascii="Arial" w:cs="Arial" w:eastAsia="Arial" w:hAnsi="Arial"/>
          <w:sz w:val="14"/>
          <w:szCs w:val="14"/>
          <w:color w:val="auto"/>
        </w:rPr>
        <w:t>determine the best credit loss estimate within. Macroeconomic factors utilized in the modeling process include the national unemployment rate, BBB US corporate index, commercial real estate price index and the home price index.</w:t>
      </w:r>
    </w:p>
    <w:p>
      <w:pPr>
        <w:spacing w:after="0" w:line="212"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The Corporation qualitatively adjusts model results for risk factors that are not inherently considered in the quantitative modeling process, but are nonetheless relevant in assessing the expected credit losses within the loan portfolio. These adjustments may increase or decrease the estimate of expected credit losses based upon the assessed level of risk for each qualitative factor. The various risks that may be considered in making qualitative adjustments include, among other things, the impact of (i) changes in the nature and volume of the loan portfolio, (ii) changes in the existence, growth and effect of any concentrations in credit, (iii) changes in lending policies and procedures, including changes in underwriting standards and practices for collections, charge-offs, and recoveries, (iv) changes in the quality of the credit review function, (v) changes in the experience, ability and depth of lending, investment, collection and other relevant management staff, (vi) changes in the volume and severity of past due financial assets, the volume of the nonaccrual assets, and the volume and severity of adversely classified or graded assets, (vii) the value of underlying collateral for loans that are not collateral dependent, and (viii) other environmental factors such as regulatory, legal and technological considerations, as well as competition and changes in the economic and business conditions that affect the collectability of financial assets.</w:t>
      </w:r>
    </w:p>
    <w:p>
      <w:pPr>
        <w:spacing w:after="0" w:line="202"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some cases, management may determine that an individual loan exhibits unique risk characteristics which differentiate the loan from other loans within the loan segments. In such cases, the loans are evaluated for expected credit losses on an individual basis and excluded from the collective evaluation. Specific reserve allocations of the allowance for credit losses are determined by analyzing the borrower’s ability to repay amounts owed, collateral deficiencies, the relative risk grade of the loan and economic conditions affecting the borrower’s industry, among other things. A loan is considered to be collateral dependent when, based upon management's assessment, the borrower is experiencing financial difficulty and repayment is expected to be provided substantially through the operation or sale of the collateral. In such cases, expected credit losses are based on the fair value of the collateral at the measurement date, adjusted for estimated selling costs if satisfaction of the loan depends on the sale of the collateral. The fair value of collateral supporting collateral dependent loans is evaluated on a quarterly basis.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The risk characteristics of the Corporation’s portfolio segments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Commercial</w:t>
      </w:r>
    </w:p>
    <w:p>
      <w:pPr>
        <w:spacing w:after="0" w:line="1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Commercial lending is primarily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tangible assets being financed such as equipment or real estate or other business assets such as accounts receivable or inventory and may incorporate a personal guarantee. Other loans may be unsecured, secured but under-collateralized or otherwise made on the basis of the enterprise value of an organization. In the case of loans secured by accounts receivable, the availability of funds for the repayment of these loans may be substantially dependent on the ability of the borrower to collect amounts due from its customers.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Commercial real estate</w:t>
      </w:r>
    </w:p>
    <w:p>
      <w:pPr>
        <w:spacing w:after="0" w:line="2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Commercial real estate loans are viewed primarily as cash flow loans and secondarily as loans secured by real estate. Commercial real estate lending typically involves higher loan principal amounts and the repayment of these loans is generally dependent on the successful operation of the property securing the loan or the business conducted on the property securing the loan. The Corporation monitors commercial real estate loans based on collateral and risk grade criteria, as well as the levels of owner-occupied versus non-owner occupied loans.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Construction</w:t>
      </w:r>
    </w:p>
    <w:p>
      <w:pPr>
        <w:spacing w:after="0" w:line="27"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Construction loans are underwritten utilizing a combination of tools and techniques including feasibility and market studies, independent appraisals and appraisal reviews, absorption and interest rate sensitivity analysis as well as the financial analysis of the developer and all guarantors. Construction loans are monitored by either in house or third party inspectors limiting advances to a percentage of costs or stabilized project value. These loans frequently involve the disbursement of significant funds with the repayment dependent upon the successful completion and, where necessary, the future stabilization of the project. The predominant inherent risk of this portfolio is associated with the borrower's ability to successfully complete a project on time, within budget and stabilize the project as originally projected.</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Consumer and Residential</w:t>
      </w:r>
    </w:p>
    <w:p>
      <w:pPr>
        <w:spacing w:after="0" w:line="27"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With respect to residential loans that are secured by 1-4 family residences, which are typically owner occupied, the Corporation generally establishes a maximum loan-to-value ratio and requires private mortgage insurance if that ratio is exceeded. Home equity loans are secured by a subordinate interest in 1-4 family residences, and consumer loans are secured by consumer assets such as automobiles or recreational vehicles. Some consumer loans, such as small installment loans and certain lines of credit, are unsecured. Repayment of these loans is primarily dependent on the personal income and credit rating of the borrowers and can also be impacted by changes in property values. Risk is mitigated by the fact that the loans are of smaller individual amounts and spread over a large number of borrowers.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1"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 xml:space="preserve">The ACL - Loans increased $19.9 million from December 31, 2025 to $215.5 million </w:t>
      </w:r>
      <w:r>
        <w:rPr>
          <w:rFonts w:ascii="Times New Roman" w:cs="Times New Roman" w:eastAsia="Times New Roman" w:hAnsi="Times New Roman"/>
          <w:sz w:val="17"/>
          <w:szCs w:val="17"/>
          <w:color w:val="auto"/>
        </w:rPr>
        <w:t>at</w:t>
      </w:r>
      <w:r>
        <w:rPr>
          <w:rFonts w:ascii="Arial" w:cs="Arial" w:eastAsia="Arial" w:hAnsi="Arial"/>
          <w:sz w:val="14"/>
          <w:szCs w:val="14"/>
          <w:color w:val="auto"/>
        </w:rPr>
        <w:t xml:space="preserve"> September 30, 2026. Net charge-offs of $29.4 million and $43.6 million were recognized during the three and nine months ended September 30, 2026, respectively, including two commercial lending relationships that had been specifically reserved for during the second quarter of 2026. Provision expense of $3.3 million and $41.2 million was recorded during the three and nine months ended September 30, 2026, respectively. Net charge-offs of $5.1 million and $12.4 million were recognized during the three and nine months ended September 30, 2025, respectively. Provision expense of $4.3 million and $14.1 million was recorded during the three and nine months ended September 30, 2025, respectively. The following tables summarize changes in the allowance for credit losses by loan segment for the three and nine months ended September 30,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8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7"/>
              </w:rPr>
              <w:t>Three Months Ended September 30, 2026</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9"/>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Commercial</w:t>
            </w:r>
          </w:p>
        </w:tc>
        <w:tc>
          <w:tcPr>
            <w:tcW w:w="8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Construction</w:t>
            </w:r>
          </w:p>
        </w:tc>
        <w:tc>
          <w:tcPr>
            <w:tcW w:w="8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Consumer &amp; Residential</w:t>
            </w:r>
          </w:p>
        </w:tc>
        <w:tc>
          <w:tcPr>
            <w:tcW w:w="320" w:type="dxa"/>
            <w:vAlign w:val="bottom"/>
          </w:tcPr>
          <w:p>
            <w:pPr>
              <w:spacing w:after="0"/>
              <w:rPr>
                <w:sz w:val="14"/>
                <w:szCs w:val="14"/>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Total</w:t>
            </w:r>
          </w:p>
        </w:tc>
      </w:tr>
      <w:tr>
        <w:trPr>
          <w:trHeight w:val="148"/>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Allowance for credit losses - loans</w:t>
            </w:r>
          </w:p>
        </w:tc>
        <w:tc>
          <w:tcPr>
            <w:tcW w:w="2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42"/>
        </w:trPr>
        <w:tc>
          <w:tcPr>
            <w:tcW w:w="3780" w:type="dxa"/>
            <w:vAlign w:val="bottom"/>
          </w:tcPr>
          <w:p>
            <w:pPr>
              <w:ind w:left="140"/>
              <w:spacing w:after="0"/>
              <w:rPr>
                <w:sz w:val="20"/>
                <w:szCs w:val="20"/>
                <w:color w:val="auto"/>
              </w:rPr>
            </w:pPr>
            <w:r>
              <w:rPr>
                <w:rFonts w:ascii="Arial" w:cs="Arial" w:eastAsia="Arial" w:hAnsi="Arial"/>
                <w:sz w:val="11"/>
                <w:szCs w:val="11"/>
                <w:color w:val="auto"/>
              </w:rPr>
              <w:t>Balances, June 30, 2026</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138,025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54,951</w:t>
            </w:r>
          </w:p>
        </w:tc>
        <w:tc>
          <w:tcPr>
            <w:tcW w:w="10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4,534</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44,105</w:t>
            </w:r>
          </w:p>
        </w:tc>
        <w:tc>
          <w:tcPr>
            <w:tcW w:w="12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241,615</w:t>
            </w: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Provision for credit losses - loans</w:t>
            </w:r>
          </w:p>
        </w:tc>
        <w:tc>
          <w:tcPr>
            <w:tcW w:w="2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7,644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(3,753)</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3,300</w:t>
            </w:r>
          </w:p>
        </w:tc>
      </w:tr>
      <w:tr>
        <w:trPr>
          <w:trHeight w:val="142"/>
        </w:trPr>
        <w:tc>
          <w:tcPr>
            <w:tcW w:w="3780" w:type="dxa"/>
            <w:vAlign w:val="bottom"/>
          </w:tcPr>
          <w:p>
            <w:pPr>
              <w:ind w:left="140"/>
              <w:spacing w:after="0"/>
              <w:rPr>
                <w:sz w:val="20"/>
                <w:szCs w:val="20"/>
                <w:color w:val="auto"/>
              </w:rPr>
            </w:pPr>
            <w:r>
              <w:rPr>
                <w:rFonts w:ascii="Arial" w:cs="Arial" w:eastAsia="Arial" w:hAnsi="Arial"/>
                <w:sz w:val="11"/>
                <w:szCs w:val="11"/>
                <w:color w:val="auto"/>
              </w:rPr>
              <w:t>Recoveries on loans</w:t>
            </w:r>
          </w:p>
        </w:tc>
        <w:tc>
          <w:tcPr>
            <w:tcW w:w="22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791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539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1,487</w:t>
            </w: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5"/>
        </w:trPr>
        <w:tc>
          <w:tcPr>
            <w:tcW w:w="37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Loans charged off</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(29,742)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(1,047)</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(30,876)</w:t>
            </w:r>
          </w:p>
        </w:tc>
      </w:tr>
      <w:tr>
        <w:trPr>
          <w:trHeight w:val="162"/>
        </w:trPr>
        <w:tc>
          <w:tcPr>
            <w:tcW w:w="3780" w:type="dxa"/>
            <w:vAlign w:val="bottom"/>
            <w:tcBorders>
              <w:top w:val="single" w:sz="8" w:color="CCEEFF"/>
            </w:tcBorders>
          </w:tcPr>
          <w:p>
            <w:pPr>
              <w:ind w:left="140"/>
              <w:spacing w:after="0"/>
              <w:rPr>
                <w:sz w:val="20"/>
                <w:szCs w:val="20"/>
                <w:color w:val="auto"/>
              </w:rPr>
            </w:pPr>
            <w:r>
              <w:rPr>
                <w:rFonts w:ascii="Arial" w:cs="Arial" w:eastAsia="Arial" w:hAnsi="Arial"/>
                <w:sz w:val="11"/>
                <w:szCs w:val="11"/>
                <w:color w:val="auto"/>
              </w:rPr>
              <w:t>Balances, September 30, 2026</w:t>
            </w: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116,718</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54,612</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4,352</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39,844</w:t>
            </w: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215,526</w:t>
            </w: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2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7"/>
              </w:rPr>
              <w:t>Three Months Ended September 30, 2025</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0"/>
        </w:trPr>
        <w:tc>
          <w:tcPr>
            <w:tcW w:w="37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Commercial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Construction</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Consumer &amp; Residential</w:t>
            </w:r>
          </w:p>
        </w:tc>
        <w:tc>
          <w:tcPr>
            <w:tcW w:w="340" w:type="dxa"/>
            <w:vAlign w:val="bottom"/>
          </w:tcPr>
          <w:p>
            <w:pPr>
              <w:spacing w:after="0"/>
              <w:rPr>
                <w:sz w:val="14"/>
                <w:szCs w:val="14"/>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Total</w:t>
            </w:r>
          </w:p>
        </w:tc>
      </w:tr>
      <w:tr>
        <w:trPr>
          <w:trHeight w:val="148"/>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Allowance for credit losses - loans</w:t>
            </w:r>
          </w:p>
        </w:tc>
        <w:tc>
          <w:tcPr>
            <w:tcW w:w="10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42"/>
        </w:trPr>
        <w:tc>
          <w:tcPr>
            <w:tcW w:w="3700" w:type="dxa"/>
            <w:vAlign w:val="bottom"/>
          </w:tcPr>
          <w:p>
            <w:pPr>
              <w:ind w:left="140"/>
              <w:spacing w:after="0"/>
              <w:rPr>
                <w:sz w:val="20"/>
                <w:szCs w:val="20"/>
                <w:color w:val="auto"/>
              </w:rPr>
            </w:pPr>
            <w:r>
              <w:rPr>
                <w:rFonts w:ascii="Arial" w:cs="Arial" w:eastAsia="Arial" w:hAnsi="Arial"/>
                <w:sz w:val="11"/>
                <w:szCs w:val="11"/>
                <w:color w:val="auto"/>
              </w:rPr>
              <w:t>Balances, June 30, 2025</w:t>
            </w:r>
          </w:p>
        </w:tc>
        <w:tc>
          <w:tcPr>
            <w:tcW w:w="1020" w:type="dxa"/>
            <w:vAlign w:val="bottom"/>
          </w:tcPr>
          <w:p>
            <w:pPr>
              <w:jc w:val="right"/>
              <w:ind w:right="886"/>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w w:val="94"/>
              </w:rPr>
              <w:t>98,984</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46,277</w:t>
            </w: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8,743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41,312</w:t>
            </w:r>
          </w:p>
        </w:tc>
        <w:tc>
          <w:tcPr>
            <w:tcW w:w="10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195,316</w:t>
            </w:r>
          </w:p>
        </w:tc>
      </w:tr>
      <w:tr>
        <w:trPr>
          <w:trHeight w:val="20"/>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Provision for credit losses - loans</w:t>
            </w:r>
          </w:p>
        </w:tc>
        <w:tc>
          <w:tcPr>
            <w:tcW w:w="10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3,632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1,252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(2,257)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1,673</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4,300</w:t>
            </w:r>
          </w:p>
        </w:tc>
      </w:tr>
      <w:tr>
        <w:trPr>
          <w:trHeight w:val="142"/>
        </w:trPr>
        <w:tc>
          <w:tcPr>
            <w:tcW w:w="3700" w:type="dxa"/>
            <w:vAlign w:val="bottom"/>
          </w:tcPr>
          <w:p>
            <w:pPr>
              <w:ind w:left="140"/>
              <w:spacing w:after="0"/>
              <w:rPr>
                <w:sz w:val="20"/>
                <w:szCs w:val="20"/>
                <w:color w:val="auto"/>
              </w:rPr>
            </w:pPr>
            <w:r>
              <w:rPr>
                <w:rFonts w:ascii="Arial" w:cs="Arial" w:eastAsia="Arial" w:hAnsi="Arial"/>
                <w:sz w:val="11"/>
                <w:szCs w:val="11"/>
                <w:color w:val="auto"/>
              </w:rPr>
              <w:t>Recoveries on loans</w:t>
            </w:r>
          </w:p>
        </w:tc>
        <w:tc>
          <w:tcPr>
            <w:tcW w:w="102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433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1,351</w:t>
            </w:r>
          </w:p>
        </w:tc>
      </w:tr>
      <w:tr>
        <w:trPr>
          <w:trHeight w:val="20"/>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6"/>
        </w:trPr>
        <w:tc>
          <w:tcPr>
            <w:tcW w:w="37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Loans charged off</w:t>
            </w: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(4,519)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(6,499)</w:t>
            </w:r>
          </w:p>
        </w:tc>
      </w:tr>
      <w:tr>
        <w:trPr>
          <w:trHeight w:val="162"/>
        </w:trPr>
        <w:tc>
          <w:tcPr>
            <w:tcW w:w="3700" w:type="dxa"/>
            <w:vAlign w:val="bottom"/>
          </w:tcPr>
          <w:p>
            <w:pPr>
              <w:ind w:left="140"/>
              <w:spacing w:after="0"/>
              <w:rPr>
                <w:sz w:val="20"/>
                <w:szCs w:val="20"/>
                <w:color w:val="auto"/>
              </w:rPr>
            </w:pPr>
            <w:r>
              <w:rPr>
                <w:rFonts w:ascii="Arial" w:cs="Arial" w:eastAsia="Arial" w:hAnsi="Arial"/>
                <w:sz w:val="11"/>
                <w:szCs w:val="11"/>
                <w:color w:val="auto"/>
              </w:rPr>
              <w:t>Balances, September 30, 2025</w:t>
            </w:r>
          </w:p>
        </w:tc>
        <w:tc>
          <w:tcPr>
            <w:tcW w:w="102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4"/>
              </w:rPr>
              <w:t>99,011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47,142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6,486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41,829</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194,468</w:t>
            </w:r>
          </w:p>
        </w:tc>
      </w:tr>
      <w:tr>
        <w:trPr>
          <w:trHeight w:val="21"/>
        </w:trPr>
        <w:tc>
          <w:tcPr>
            <w:tcW w:w="3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2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8"/>
              </w:rPr>
              <w:t>Nine Months Ended September 30, 2026</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0"/>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Commercial</w:t>
            </w:r>
          </w:p>
        </w:tc>
        <w:tc>
          <w:tcPr>
            <w:tcW w:w="8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Construction</w:t>
            </w:r>
          </w:p>
        </w:tc>
        <w:tc>
          <w:tcPr>
            <w:tcW w:w="8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Consumer &amp; Residential</w:t>
            </w:r>
          </w:p>
        </w:tc>
        <w:tc>
          <w:tcPr>
            <w:tcW w:w="340" w:type="dxa"/>
            <w:vAlign w:val="bottom"/>
          </w:tcPr>
          <w:p>
            <w:pPr>
              <w:spacing w:after="0"/>
              <w:rPr>
                <w:sz w:val="14"/>
                <w:szCs w:val="14"/>
                <w:color w:val="auto"/>
              </w:rPr>
            </w:pPr>
          </w:p>
        </w:tc>
        <w:tc>
          <w:tcPr>
            <w:tcW w:w="1080" w:type="dxa"/>
            <w:vAlign w:val="bottom"/>
          </w:tcPr>
          <w:p>
            <w:pPr>
              <w:jc w:val="right"/>
              <w:ind w:right="526"/>
              <w:spacing w:after="0"/>
              <w:rPr>
                <w:sz w:val="20"/>
                <w:szCs w:val="20"/>
                <w:color w:val="auto"/>
              </w:rPr>
            </w:pPr>
            <w:r>
              <w:rPr>
                <w:rFonts w:ascii="Arial" w:cs="Arial" w:eastAsia="Arial" w:hAnsi="Arial"/>
                <w:sz w:val="11"/>
                <w:szCs w:val="11"/>
                <w:b w:val="1"/>
                <w:bCs w:val="1"/>
                <w:color w:val="auto"/>
              </w:rPr>
              <w:t>Total</w:t>
            </w:r>
          </w:p>
        </w:tc>
      </w:tr>
      <w:tr>
        <w:trPr>
          <w:trHeight w:val="14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Allowance for credit losses - loans</w:t>
            </w: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52"/>
        </w:trPr>
        <w:tc>
          <w:tcPr>
            <w:tcW w:w="3700" w:type="dxa"/>
            <w:vAlign w:val="bottom"/>
          </w:tcPr>
          <w:p>
            <w:pPr>
              <w:ind w:left="140"/>
              <w:spacing w:after="0"/>
              <w:rPr>
                <w:sz w:val="20"/>
                <w:szCs w:val="20"/>
                <w:color w:val="auto"/>
              </w:rPr>
            </w:pPr>
            <w:r>
              <w:rPr>
                <w:rFonts w:ascii="Arial" w:cs="Arial" w:eastAsia="Arial" w:hAnsi="Arial"/>
                <w:sz w:val="11"/>
                <w:szCs w:val="11"/>
                <w:color w:val="auto"/>
              </w:rPr>
              <w:t>Balances, December 31, 2025</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104,435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45,541</w:t>
            </w:r>
          </w:p>
        </w:tc>
        <w:tc>
          <w:tcPr>
            <w:tcW w:w="10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5,470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40,151</w:t>
            </w:r>
          </w:p>
        </w:tc>
        <w:tc>
          <w:tcPr>
            <w:tcW w:w="100" w:type="dxa"/>
            <w:vAlign w:val="bottom"/>
          </w:tcPr>
          <w:p>
            <w:pPr>
              <w:spacing w:after="0"/>
              <w:rPr>
                <w:sz w:val="13"/>
                <w:szCs w:val="13"/>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195,597</w:t>
            </w:r>
          </w:p>
        </w:tc>
      </w:tr>
      <w:tr>
        <w:trPr>
          <w:trHeight w:val="172"/>
        </w:trPr>
        <w:tc>
          <w:tcPr>
            <w:tcW w:w="37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Provision for credit losses - loans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46,028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41,200</w:t>
            </w:r>
          </w:p>
        </w:tc>
      </w:tr>
      <w:tr>
        <w:trPr>
          <w:trHeight w:val="142"/>
        </w:trPr>
        <w:tc>
          <w:tcPr>
            <w:tcW w:w="3700" w:type="dxa"/>
            <w:vAlign w:val="bottom"/>
          </w:tcPr>
          <w:p>
            <w:pPr>
              <w:ind w:left="140"/>
              <w:spacing w:after="0"/>
              <w:rPr>
                <w:sz w:val="20"/>
                <w:szCs w:val="20"/>
                <w:color w:val="auto"/>
              </w:rPr>
            </w:pPr>
            <w:r>
              <w:rPr>
                <w:rFonts w:ascii="Arial" w:cs="Arial" w:eastAsia="Arial" w:hAnsi="Arial"/>
                <w:sz w:val="11"/>
                <w:szCs w:val="11"/>
                <w:color w:val="auto"/>
              </w:rPr>
              <w:t>CECL Day 1 PSL ACL - loans</w:t>
            </w:r>
          </w:p>
        </w:tc>
        <w:tc>
          <w:tcPr>
            <w:tcW w:w="2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2,293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5,357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7,000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15,212</w:t>
            </w:r>
          </w:p>
        </w:tc>
      </w:tr>
      <w:tr>
        <w:trPr>
          <w:trHeight w:val="20"/>
        </w:trPr>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CECL Day 1 PCD ACL - loans</w:t>
            </w:r>
          </w:p>
        </w:tc>
        <w:tc>
          <w:tcPr>
            <w:tcW w:w="24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2,488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3,368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570</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7,067</w:t>
            </w:r>
          </w:p>
        </w:tc>
      </w:tr>
      <w:tr>
        <w:trPr>
          <w:trHeight w:val="152"/>
        </w:trPr>
        <w:tc>
          <w:tcPr>
            <w:tcW w:w="3700" w:type="dxa"/>
            <w:vAlign w:val="bottom"/>
          </w:tcPr>
          <w:p>
            <w:pPr>
              <w:ind w:left="140"/>
              <w:spacing w:after="0"/>
              <w:rPr>
                <w:sz w:val="20"/>
                <w:szCs w:val="20"/>
                <w:color w:val="auto"/>
              </w:rPr>
            </w:pPr>
            <w:r>
              <w:rPr>
                <w:rFonts w:ascii="Arial" w:cs="Arial" w:eastAsia="Arial" w:hAnsi="Arial"/>
                <w:sz w:val="11"/>
                <w:szCs w:val="11"/>
                <w:color w:val="auto"/>
              </w:rPr>
              <w:t>Recoveries on loans</w:t>
            </w:r>
          </w:p>
        </w:tc>
        <w:tc>
          <w:tcPr>
            <w:tcW w:w="24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2,447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2,056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4,742</w:t>
            </w:r>
          </w:p>
        </w:tc>
      </w:tr>
      <w:tr>
        <w:trPr>
          <w:trHeight w:val="166"/>
        </w:trPr>
        <w:tc>
          <w:tcPr>
            <w:tcW w:w="37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Loans charged off</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(48,292)</w:t>
            </w:r>
          </w:p>
        </w:tc>
      </w:tr>
      <w:tr>
        <w:trPr>
          <w:trHeight w:val="162"/>
        </w:trPr>
        <w:tc>
          <w:tcPr>
            <w:tcW w:w="3700" w:type="dxa"/>
            <w:vAlign w:val="bottom"/>
          </w:tcPr>
          <w:p>
            <w:pPr>
              <w:ind w:left="140"/>
              <w:spacing w:after="0"/>
              <w:rPr>
                <w:sz w:val="20"/>
                <w:szCs w:val="20"/>
                <w:color w:val="auto"/>
              </w:rPr>
            </w:pPr>
            <w:r>
              <w:rPr>
                <w:rFonts w:ascii="Arial" w:cs="Arial" w:eastAsia="Arial" w:hAnsi="Arial"/>
                <w:sz w:val="11"/>
                <w:szCs w:val="11"/>
                <w:color w:val="auto"/>
              </w:rPr>
              <w:t>Balances, September 30, 2026</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116,718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54,612</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4,352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39,844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215,526</w:t>
            </w:r>
          </w:p>
        </w:tc>
      </w:tr>
      <w:tr>
        <w:trPr>
          <w:trHeight w:val="21"/>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540" w:type="dxa"/>
            <w:vAlign w:val="bottom"/>
            <w:gridSpan w:val="8"/>
          </w:tcPr>
          <w:p>
            <w:pPr>
              <w:ind w:left="1140"/>
              <w:spacing w:after="0"/>
              <w:rPr>
                <w:sz w:val="20"/>
                <w:szCs w:val="20"/>
                <w:color w:val="auto"/>
              </w:rPr>
            </w:pPr>
            <w:r>
              <w:rPr>
                <w:rFonts w:ascii="Arial" w:cs="Arial" w:eastAsia="Arial" w:hAnsi="Arial"/>
                <w:sz w:val="11"/>
                <w:szCs w:val="11"/>
                <w:b w:val="1"/>
                <w:bCs w:val="1"/>
                <w:color w:val="auto"/>
              </w:rPr>
              <w:t>Nine Months Ended September 30, 2025</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69"/>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Commercial</w:t>
            </w:r>
          </w:p>
        </w:tc>
        <w:tc>
          <w:tcPr>
            <w:tcW w:w="8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Construction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Consumer &amp; Residential</w:t>
            </w:r>
          </w:p>
        </w:tc>
        <w:tc>
          <w:tcPr>
            <w:tcW w:w="340" w:type="dxa"/>
            <w:vAlign w:val="bottom"/>
          </w:tcPr>
          <w:p>
            <w:pPr>
              <w:spacing w:after="0"/>
              <w:rPr>
                <w:sz w:val="14"/>
                <w:szCs w:val="14"/>
                <w:color w:val="auto"/>
              </w:rPr>
            </w:pPr>
          </w:p>
        </w:tc>
        <w:tc>
          <w:tcPr>
            <w:tcW w:w="1060" w:type="dxa"/>
            <w:vAlign w:val="bottom"/>
          </w:tcPr>
          <w:p>
            <w:pPr>
              <w:jc w:val="right"/>
              <w:ind w:right="526"/>
              <w:spacing w:after="0"/>
              <w:rPr>
                <w:sz w:val="20"/>
                <w:szCs w:val="20"/>
                <w:color w:val="auto"/>
              </w:rPr>
            </w:pPr>
            <w:r>
              <w:rPr>
                <w:rFonts w:ascii="Arial" w:cs="Arial" w:eastAsia="Arial" w:hAnsi="Arial"/>
                <w:sz w:val="11"/>
                <w:szCs w:val="11"/>
                <w:b w:val="1"/>
                <w:bCs w:val="1"/>
                <w:color w:val="auto"/>
              </w:rPr>
              <w:t>Total</w:t>
            </w:r>
          </w:p>
        </w:tc>
      </w:tr>
      <w:tr>
        <w:trPr>
          <w:trHeight w:val="14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Allowance for credit losses - loans</w:t>
            </w:r>
          </w:p>
        </w:tc>
        <w:tc>
          <w:tcPr>
            <w:tcW w:w="2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r>
      <w:tr>
        <w:trPr>
          <w:trHeight w:val="142"/>
        </w:trPr>
        <w:tc>
          <w:tcPr>
            <w:tcW w:w="3700" w:type="dxa"/>
            <w:vAlign w:val="bottom"/>
          </w:tcPr>
          <w:p>
            <w:pPr>
              <w:ind w:left="140"/>
              <w:spacing w:after="0"/>
              <w:rPr>
                <w:sz w:val="20"/>
                <w:szCs w:val="20"/>
                <w:color w:val="auto"/>
              </w:rPr>
            </w:pPr>
            <w:r>
              <w:rPr>
                <w:rFonts w:ascii="Arial" w:cs="Arial" w:eastAsia="Arial" w:hAnsi="Arial"/>
                <w:sz w:val="11"/>
                <w:szCs w:val="11"/>
                <w:color w:val="auto"/>
              </w:rPr>
              <w:t>Balances, December 31, 2024</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94,757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51,099</w:t>
            </w:r>
          </w:p>
        </w:tc>
        <w:tc>
          <w:tcPr>
            <w:tcW w:w="100" w:type="dxa"/>
            <w:vAlign w:val="bottom"/>
          </w:tcPr>
          <w:p>
            <w:pPr>
              <w:spacing w:after="0"/>
              <w:rPr>
                <w:sz w:val="12"/>
                <w:szCs w:val="12"/>
                <w:color w:val="auto"/>
              </w:rPr>
            </w:pPr>
          </w:p>
        </w:tc>
        <w:tc>
          <w:tcPr>
            <w:tcW w:w="1060" w:type="dxa"/>
            <w:vAlign w:val="bottom"/>
          </w:tcPr>
          <w:p>
            <w:pPr>
              <w:jc w:val="right"/>
              <w:ind w:right="92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9,784</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37,117</w:t>
            </w:r>
          </w:p>
        </w:tc>
        <w:tc>
          <w:tcPr>
            <w:tcW w:w="10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192,757</w:t>
            </w:r>
          </w:p>
        </w:tc>
      </w:tr>
      <w:tr>
        <w:trPr>
          <w:trHeight w:val="20"/>
        </w:trPr>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62"/>
        </w:trPr>
        <w:tc>
          <w:tcPr>
            <w:tcW w:w="37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Provision for credit losses - loans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12,380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(3,198)</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(3,235)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8,153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14,100</w:t>
            </w:r>
          </w:p>
        </w:tc>
      </w:tr>
      <w:tr>
        <w:trPr>
          <w:trHeight w:val="152"/>
        </w:trPr>
        <w:tc>
          <w:tcPr>
            <w:tcW w:w="3700" w:type="dxa"/>
            <w:vAlign w:val="bottom"/>
          </w:tcPr>
          <w:p>
            <w:pPr>
              <w:ind w:left="140"/>
              <w:spacing w:after="0"/>
              <w:rPr>
                <w:sz w:val="20"/>
                <w:szCs w:val="20"/>
                <w:color w:val="auto"/>
              </w:rPr>
            </w:pPr>
            <w:r>
              <w:rPr>
                <w:rFonts w:ascii="Arial" w:cs="Arial" w:eastAsia="Arial" w:hAnsi="Arial"/>
                <w:sz w:val="11"/>
                <w:szCs w:val="11"/>
                <w:color w:val="auto"/>
              </w:rPr>
              <w:t>Recoveries on loans</w:t>
            </w:r>
          </w:p>
        </w:tc>
        <w:tc>
          <w:tcPr>
            <w:tcW w:w="240" w:type="dxa"/>
            <w:vAlign w:val="bottom"/>
          </w:tcPr>
          <w:p>
            <w:pPr>
              <w:spacing w:after="0"/>
              <w:rPr>
                <w:sz w:val="13"/>
                <w:szCs w:val="13"/>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3,366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1,070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4,543</w:t>
            </w:r>
          </w:p>
        </w:tc>
      </w:tr>
      <w:tr>
        <w:trPr>
          <w:trHeight w:val="165"/>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Loans charged off</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(11,492)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(866)</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(4,511)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(16,932)</w:t>
            </w:r>
          </w:p>
        </w:tc>
      </w:tr>
      <w:tr>
        <w:trPr>
          <w:trHeight w:val="162"/>
        </w:trPr>
        <w:tc>
          <w:tcPr>
            <w:tcW w:w="3700" w:type="dxa"/>
            <w:vAlign w:val="bottom"/>
          </w:tcPr>
          <w:p>
            <w:pPr>
              <w:ind w:left="140"/>
              <w:spacing w:after="0"/>
              <w:rPr>
                <w:sz w:val="20"/>
                <w:szCs w:val="20"/>
                <w:color w:val="auto"/>
              </w:rPr>
            </w:pPr>
            <w:r>
              <w:rPr>
                <w:rFonts w:ascii="Arial" w:cs="Arial" w:eastAsia="Arial" w:hAnsi="Arial"/>
                <w:sz w:val="11"/>
                <w:szCs w:val="11"/>
                <w:color w:val="auto"/>
              </w:rPr>
              <w:t>Balances, September 30, 2025</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99,011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47,142</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26"/>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6,486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41,829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194,468</w:t>
            </w: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 Commitments and Contingencies</w:t>
      </w:r>
    </w:p>
    <w:p>
      <w:pPr>
        <w:spacing w:after="0" w:line="244" w:lineRule="exact"/>
        <w:rPr>
          <w:sz w:val="20"/>
          <w:szCs w:val="20"/>
          <w:color w:val="auto"/>
        </w:rPr>
      </w:pPr>
    </w:p>
    <w:p>
      <w:pPr>
        <w:ind w:right="220"/>
        <w:spacing w:after="0" w:line="266" w:lineRule="auto"/>
        <w:rPr>
          <w:sz w:val="20"/>
          <w:szCs w:val="20"/>
          <w:color w:val="auto"/>
        </w:rPr>
      </w:pPr>
      <w:r>
        <w:rPr>
          <w:rFonts w:ascii="Arial" w:cs="Arial" w:eastAsia="Arial" w:hAnsi="Arial"/>
          <w:sz w:val="14"/>
          <w:szCs w:val="14"/>
          <w:color w:val="auto"/>
        </w:rPr>
        <w:t>In the normal course of business, the Corporation has entered into off-balance sheet financial instruments which include commitments to extend credit and standby letters of credit. Commitments to extend credit are usually the result of lines of credit granted to existing borrowers under agreements that the total outstanding indebtedness will not exceed a specific amount during the term of the indebtedness. Typical borrowers are commercial customers that use lines of credit to supplement their treasury management functions, and thus their total outstanding indebtedness may fluctuate during any time period based on the seasonality of their business and the resultant timing for their cash flows. Other typical lines of credit are related to home equity loans granted to customers. Commitments to extend credit generally have fixed expiration dates or other termination clauses that may require a fee.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Standby letters of credit are generally issued on behalf of an applicant (the Corporation’s customer) to a specifically named beneficiary and are the result of a particular business arrangement that exists between the applicant and the beneficiary. Standby letters of credit have fixed expiration dates and are usually for terms of two years or less unless terminated beforehand due to criteria specified in the standby letter of credit. The standby letter of credit would permit the beneficiary to obtain payment from the Corporation under certain prescribed circumstances. Subsequently, the Corporation would seek reimbursement from the applicant pursuant to the terms of the standby letter of credit.</w:t>
      </w:r>
    </w:p>
    <w:p>
      <w:pPr>
        <w:spacing w:after="0" w:line="210"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color w:val="auto"/>
        </w:rPr>
        <w:t>The Corporation typically follows the same credit policies and underwriting practices when making these commitments as it does for on-balance sheet instruments. Each customer’s creditworthiness is typically evaluated on a case-by-case basis, and the amount of collateral obtained, if any, is based on management’s credit evaluation of the customer. Collateral held varies but may include cash, real estate, marketable securities, accounts receivable, inventory, equipment and personal property. The contractual amounts of these commitments are not reflected in the consolidated financial statements and only amounts drawn upon would be reflected in the future. Since many of the commitments are expected to expire without being drawn upon, the contractual amounts do not necessarily represent future cash requirements. However, should the commitments be drawn upon and should the Corporation’s customers default on their resulting obligation to the Corporation, the maximum exposure to credit loss, without consideration of collateral, is represented by the contractual amount of those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Financial instruments with off-balance sheet risk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September 30, 2026</w:t>
            </w:r>
          </w:p>
        </w:tc>
        <w:tc>
          <w:tcPr>
            <w:tcW w:w="160" w:type="dxa"/>
            <w:vAlign w:val="bottom"/>
          </w:tcPr>
          <w:p>
            <w:pPr>
              <w:spacing w:after="0"/>
              <w:rPr>
                <w:sz w:val="13"/>
                <w:szCs w:val="13"/>
                <w:color w:val="auto"/>
              </w:rPr>
            </w:pPr>
          </w:p>
        </w:tc>
        <w:tc>
          <w:tcPr>
            <w:tcW w:w="1280" w:type="dxa"/>
            <w:vAlign w:val="bottom"/>
          </w:tcPr>
          <w:p>
            <w:pPr>
              <w:jc w:val="right"/>
              <w:ind w:right="166"/>
              <w:spacing w:after="0"/>
              <w:rPr>
                <w:sz w:val="20"/>
                <w:szCs w:val="20"/>
                <w:color w:val="auto"/>
              </w:rPr>
            </w:pPr>
            <w:r>
              <w:rPr>
                <w:rFonts w:ascii="Arial" w:cs="Arial" w:eastAsia="Arial" w:hAnsi="Arial"/>
                <w:sz w:val="11"/>
                <w:szCs w:val="11"/>
                <w:b w:val="1"/>
                <w:bCs w:val="1"/>
                <w:color w:val="auto"/>
              </w:rPr>
              <w:t>December 31, 2025</w:t>
            </w:r>
          </w:p>
        </w:tc>
      </w:tr>
      <w:tr>
        <w:trPr>
          <w:trHeight w:val="148"/>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Amounts of commitments:</w:t>
            </w: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r>
      <w:tr>
        <w:trPr>
          <w:trHeight w:val="142"/>
        </w:trPr>
        <w:tc>
          <w:tcPr>
            <w:tcW w:w="8260" w:type="dxa"/>
            <w:vAlign w:val="bottom"/>
          </w:tcPr>
          <w:p>
            <w:pPr>
              <w:ind w:left="20"/>
              <w:spacing w:after="0"/>
              <w:rPr>
                <w:sz w:val="20"/>
                <w:szCs w:val="20"/>
                <w:color w:val="auto"/>
              </w:rPr>
            </w:pPr>
            <w:r>
              <w:rPr>
                <w:rFonts w:ascii="Arial" w:cs="Arial" w:eastAsia="Arial" w:hAnsi="Arial"/>
                <w:sz w:val="11"/>
                <w:szCs w:val="11"/>
                <w:color w:val="auto"/>
              </w:rPr>
              <w:t>Loan commitments to extend credit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6,080,902</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5,586,510</w:t>
            </w: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42"/>
        </w:trPr>
        <w:tc>
          <w:tcPr>
            <w:tcW w:w="8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Standby letters of credit</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109,924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73,997</w:t>
            </w:r>
          </w:p>
        </w:tc>
      </w:tr>
      <w:tr>
        <w:trPr>
          <w:trHeight w:val="20"/>
        </w:trPr>
        <w:tc>
          <w:tcPr>
            <w:tcW w:w="8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The Corporation maintains an accrual for credit losses on off-balance sheet commitments using the CECL methodology. There was no additional allowance for credit losses associated with off-balance sheet commitments during the three months ended September 30, 2026. The First Savings acquisition added $0.5 million of Day 1 allowance for credit losses associated with off-balance sheet commitments during the nine months ended September 30, 2026. There was no provision for credit losses on unfunded commitments during the three and nine months ended September 30, 2025. This reserve level remains appropriate and is reported in "Other liabilities" as of September 30, 2026 and December 31, 2025 in the Consolidated Condensed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4"/>
          </w:tcPr>
          <w:p>
            <w:pPr>
              <w:jc w:val="right"/>
              <w:ind w:right="926"/>
              <w:spacing w:after="0"/>
              <w:rPr>
                <w:sz w:val="20"/>
                <w:szCs w:val="20"/>
                <w:color w:val="auto"/>
              </w:rPr>
            </w:pPr>
            <w:r>
              <w:rPr>
                <w:rFonts w:ascii="Arial" w:cs="Arial" w:eastAsia="Arial" w:hAnsi="Arial"/>
                <w:sz w:val="11"/>
                <w:szCs w:val="11"/>
                <w:b w:val="1"/>
                <w:bCs w:val="1"/>
                <w:color w:val="auto"/>
              </w:rPr>
              <w:t>Nine Months Ended</w:t>
            </w:r>
          </w:p>
        </w:tc>
      </w:tr>
      <w:tr>
        <w:trPr>
          <w:trHeight w:val="155"/>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September 30, 2026</w:t>
            </w:r>
          </w:p>
        </w:tc>
        <w:tc>
          <w:tcPr>
            <w:tcW w:w="14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September 30, 2025</w:t>
            </w:r>
          </w:p>
        </w:tc>
        <w:tc>
          <w:tcPr>
            <w:tcW w:w="140" w:type="dxa"/>
            <w:vAlign w:val="bottom"/>
          </w:tcPr>
          <w:p>
            <w:pPr>
              <w:spacing w:after="0"/>
              <w:rPr>
                <w:sz w:val="13"/>
                <w:szCs w:val="13"/>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 2026</w:t>
            </w:r>
          </w:p>
        </w:tc>
        <w:tc>
          <w:tcPr>
            <w:tcW w:w="160" w:type="dxa"/>
            <w:vAlign w:val="bottom"/>
          </w:tcPr>
          <w:p>
            <w:pPr>
              <w:spacing w:after="0"/>
              <w:rPr>
                <w:sz w:val="13"/>
                <w:szCs w:val="13"/>
                <w:color w:val="auto"/>
              </w:rPr>
            </w:pPr>
          </w:p>
        </w:tc>
        <w:tc>
          <w:tcPr>
            <w:tcW w:w="1280" w:type="dxa"/>
            <w:vAlign w:val="bottom"/>
          </w:tcPr>
          <w:p>
            <w:pPr>
              <w:jc w:val="right"/>
              <w:ind w:right="166"/>
              <w:spacing w:after="0"/>
              <w:rPr>
                <w:sz w:val="20"/>
                <w:szCs w:val="20"/>
                <w:color w:val="auto"/>
              </w:rPr>
            </w:pPr>
            <w:r>
              <w:rPr>
                <w:rFonts w:ascii="Arial" w:cs="Arial" w:eastAsia="Arial" w:hAnsi="Arial"/>
                <w:sz w:val="11"/>
                <w:szCs w:val="11"/>
                <w:b w:val="1"/>
                <w:bCs w:val="1"/>
                <w:color w:val="auto"/>
              </w:rPr>
              <w:t>September 30, 2025</w:t>
            </w:r>
          </w:p>
        </w:tc>
      </w:tr>
      <w:tr>
        <w:trPr>
          <w:trHeight w:val="142"/>
        </w:trPr>
        <w:tc>
          <w:tcPr>
            <w:tcW w:w="5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Balance, beginning of period</w:t>
            </w: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18,500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18,000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18,000</w:t>
            </w:r>
          </w:p>
        </w:tc>
      </w:tr>
      <w:tr>
        <w:trPr>
          <w:trHeight w:val="155"/>
        </w:trPr>
        <w:tc>
          <w:tcPr>
            <w:tcW w:w="5240" w:type="dxa"/>
            <w:vAlign w:val="bottom"/>
          </w:tcPr>
          <w:p>
            <w:pPr>
              <w:ind w:left="140"/>
              <w:spacing w:after="0"/>
              <w:rPr>
                <w:sz w:val="20"/>
                <w:szCs w:val="20"/>
                <w:color w:val="auto"/>
              </w:rPr>
            </w:pPr>
            <w:r>
              <w:rPr>
                <w:rFonts w:ascii="Arial" w:cs="Arial" w:eastAsia="Arial" w:hAnsi="Arial"/>
                <w:sz w:val="11"/>
                <w:szCs w:val="11"/>
                <w:color w:val="auto"/>
              </w:rPr>
              <w:t>Day 1 allowance for credit losses - unfunded commitments</w:t>
            </w:r>
          </w:p>
        </w:tc>
        <w:tc>
          <w:tcPr>
            <w:tcW w:w="14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500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87"/>
        </w:trPr>
        <w:tc>
          <w:tcPr>
            <w:tcW w:w="5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Balance, end of period</w:t>
            </w: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18,500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18,500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18,000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Held for Sale</w:t>
      </w:r>
    </w:p>
    <w:p>
      <w:pPr>
        <w:spacing w:after="0" w:line="258"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Loans held for sale at September 30, 2026 and December 31, 2025, were $87.3 million and $20.1 million, respectively. The increase in loans held for sale was primarily attributable to the First Savings acquisition. Prior to the acquisition, loans held for sale primarily consisted of residential mortgage loans originated for sale in the secondary market. The acquisition added Small Business Administration ("SBA") and first-lien HELOC loans held for sale. In March 2026, management approved a plan to sell a pool of performing residential mortgage loans with a principal balance totaling $357.0 million. At the time of the decision, all loans included in the pool were current and performing in accordance with their contractual terms. As a result of the decision to sell, the loan pool was reclassified from held for investment to held for sale and the Corporation recognized a $29.8 million loss during the first quarter. During the second quarter of 2026, the Corporation sold $271.1 million of mortgage loans and transferred $47.1 million of mortgage loans back to held for investment, as those loans were no longer expected to be sold.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INTANGIBLES</w:t>
      </w:r>
    </w:p>
    <w:p>
      <w:pPr>
        <w:spacing w:after="0" w:line="266"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Goodwill is recorded on the acquisition date of an entity. The Corporation has up to one year after the acquisition date, the measurement period, to record subsequent adjustments to goodwill for provisional amounts recorded at the acquisition date. The First Savings acquisition on February 1, 2026 resulted in $76.2 million of goodwill. Details regarding the First Savings acquisition are discussed in NOTE 2. ACQUISITIONS of these Notes to Consolidated Condensed Financial Statements. The changes in carrying basis of goodwill are noted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2025</w:t>
            </w:r>
          </w:p>
        </w:tc>
      </w:tr>
      <w:tr>
        <w:trPr>
          <w:trHeight w:val="1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January 1</w:t>
            </w:r>
          </w:p>
        </w:tc>
        <w:tc>
          <w:tcPr>
            <w:tcW w:w="920" w:type="dxa"/>
            <w:vAlign w:val="bottom"/>
            <w:tcBorders>
              <w:bottom w:val="single" w:sz="8" w:color="CCEEFF"/>
            </w:tcBorders>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712,002</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712,002</w:t>
            </w:r>
          </w:p>
        </w:tc>
      </w:tr>
      <w:tr>
        <w:trPr>
          <w:trHeight w:val="155"/>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Goodwill acquired</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76,184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8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September 30</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788,186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712,002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Core deposit intangibles and other intangibles are recorded on the acquisition date of an entity. The Corporation has up to one year after the acquisition date, the measurement period, to record subsequent adjustments to these intangibles for provisional amounts recorded at the acquisition date. The First Savings acquisition resulted in recognition of a $29.4 million core deposit intangible and $0.8 million of other intangibles related to non-compete agreements. Details regarding the First Savings acquisition are discussed in NOTE 2. ACQUISITIONS of these Notes to Consolidated Condensed Financial Statements. The carrying basis and accumulated amortization of recognized core deposit intangibles and other intangibles are noted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September 30, 2026</w:t>
            </w:r>
          </w:p>
        </w:tc>
        <w:tc>
          <w:tcPr>
            <w:tcW w:w="160" w:type="dxa"/>
            <w:vAlign w:val="bottom"/>
          </w:tcPr>
          <w:p>
            <w:pPr>
              <w:spacing w:after="0"/>
              <w:rPr>
                <w:sz w:val="13"/>
                <w:szCs w:val="13"/>
                <w:color w:val="auto"/>
              </w:rPr>
            </w:pPr>
          </w:p>
        </w:tc>
        <w:tc>
          <w:tcPr>
            <w:tcW w:w="1280" w:type="dxa"/>
            <w:vAlign w:val="bottom"/>
          </w:tcPr>
          <w:p>
            <w:pPr>
              <w:jc w:val="right"/>
              <w:ind w:right="166"/>
              <w:spacing w:after="0"/>
              <w:rPr>
                <w:sz w:val="20"/>
                <w:szCs w:val="20"/>
                <w:color w:val="auto"/>
              </w:rPr>
            </w:pPr>
            <w:r>
              <w:rPr>
                <w:rFonts w:ascii="Arial" w:cs="Arial" w:eastAsia="Arial" w:hAnsi="Arial"/>
                <w:sz w:val="11"/>
                <w:szCs w:val="11"/>
                <w:b w:val="1"/>
                <w:bCs w:val="1"/>
                <w:color w:val="auto"/>
              </w:rPr>
              <w:t>December 31, 2025</w:t>
            </w:r>
          </w:p>
        </w:tc>
      </w:tr>
      <w:tr>
        <w:trPr>
          <w:trHeight w:val="142"/>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Gross carrying amount</w:t>
            </w: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153,465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123,285</w:t>
            </w:r>
          </w:p>
        </w:tc>
      </w:tr>
      <w:tr>
        <w:trPr>
          <w:trHeight w:val="156"/>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Accumulated amortization</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(117,145)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(109,485)</w:t>
            </w:r>
          </w:p>
        </w:tc>
      </w:tr>
      <w:tr>
        <w:trPr>
          <w:trHeight w:val="18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core deposit and other intangibles</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36,320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13,800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The core deposit intangibles and other intangibles are being amortized primarily on an accelerated basis over their estimated useful lives, ranging from one to ten years. Intangible amortization expense for the three and nine months ended September 30, 2026 was $2.7 million and $7.7 million, respectively. This compared to $1.5 million and $4.5 million, respectively, for the same periods in 2025. Estimated future amortization expense is summarized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8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Amortization Expense</w:t>
            </w:r>
          </w:p>
        </w:tc>
      </w:tr>
      <w:tr>
        <w:trPr>
          <w:trHeight w:val="14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2,553</w:t>
            </w:r>
          </w:p>
        </w:tc>
      </w:tr>
      <w:tr>
        <w:trPr>
          <w:trHeight w:val="152"/>
        </w:trPr>
        <w:tc>
          <w:tcPr>
            <w:tcW w:w="9800" w:type="dxa"/>
            <w:vAlign w:val="bottom"/>
          </w:tcPr>
          <w:p>
            <w:pPr>
              <w:ind w:left="20"/>
              <w:spacing w:after="0"/>
              <w:rPr>
                <w:sz w:val="20"/>
                <w:szCs w:val="20"/>
                <w:color w:val="auto"/>
              </w:rPr>
            </w:pPr>
            <w:r>
              <w:rPr>
                <w:rFonts w:ascii="Arial" w:cs="Arial" w:eastAsia="Arial" w:hAnsi="Arial"/>
                <w:sz w:val="11"/>
                <w:szCs w:val="11"/>
                <w:color w:val="auto"/>
              </w:rPr>
              <w:t>2027</w:t>
            </w:r>
          </w:p>
        </w:tc>
        <w:tc>
          <w:tcPr>
            <w:tcW w:w="120" w:type="dxa"/>
            <w:vAlign w:val="bottom"/>
          </w:tcPr>
          <w:p>
            <w:pPr>
              <w:spacing w:after="0"/>
              <w:rPr>
                <w:sz w:val="13"/>
                <w:szCs w:val="13"/>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8,862</w:t>
            </w:r>
          </w:p>
        </w:tc>
      </w:tr>
      <w:tr>
        <w:trPr>
          <w:trHeight w:val="172"/>
        </w:trPr>
        <w:tc>
          <w:tcPr>
            <w:tcW w:w="9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7,167</w:t>
            </w:r>
          </w:p>
        </w:tc>
      </w:tr>
      <w:tr>
        <w:trPr>
          <w:trHeight w:val="142"/>
        </w:trPr>
        <w:tc>
          <w:tcPr>
            <w:tcW w:w="9800" w:type="dxa"/>
            <w:vAlign w:val="bottom"/>
          </w:tcPr>
          <w:p>
            <w:pPr>
              <w:ind w:left="20"/>
              <w:spacing w:after="0"/>
              <w:rPr>
                <w:sz w:val="20"/>
                <w:szCs w:val="20"/>
                <w:color w:val="auto"/>
              </w:rPr>
            </w:pPr>
            <w:r>
              <w:rPr>
                <w:rFonts w:ascii="Arial" w:cs="Arial" w:eastAsia="Arial" w:hAnsi="Arial"/>
                <w:sz w:val="11"/>
                <w:szCs w:val="11"/>
                <w:color w:val="auto"/>
              </w:rPr>
              <w:t>2029</w:t>
            </w:r>
          </w:p>
        </w:tc>
        <w:tc>
          <w:tcPr>
            <w:tcW w:w="12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4,918</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4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2030</w:t>
            </w:r>
          </w:p>
        </w:tc>
        <w:tc>
          <w:tcPr>
            <w:tcW w:w="12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4,053</w:t>
            </w:r>
          </w:p>
        </w:tc>
      </w:tr>
      <w:tr>
        <w:trPr>
          <w:trHeight w:val="15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After 2030</w:t>
            </w: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8,767</w:t>
            </w:r>
          </w:p>
        </w:tc>
      </w:tr>
      <w:tr>
        <w:trPr>
          <w:trHeight w:val="180"/>
        </w:trPr>
        <w:tc>
          <w:tcPr>
            <w:tcW w:w="9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36,320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 FINANCIAL INSTRUMENTS</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Non-designated Hedges</w:t>
      </w:r>
    </w:p>
    <w:p>
      <w:pPr>
        <w:spacing w:after="0" w:line="242"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Derivatives not designated as hedges are not used for speculative purposes. Instead, they arise from services provided to commercial banking customers as part of their risk management strategies. The Corporation executes interest rate swaps with commercial banking customers to facilitate their respective risk management strategies. Those interest rate swaps are simultaneously hedged by offsetting interest rate swaps that the Corporation executes with a third party, such that the Corporation minimizes its net risk exposure resulting from such transactions. As the interest rate swaps associated with this program do not meet the strict hedge accounting requirements, changes in the fair value of both the customer swaps and the offsetting swaps are recognized directly in earnings.</w:t>
      </w:r>
    </w:p>
    <w:p>
      <w:pPr>
        <w:spacing w:after="0" w:line="211"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Interest rate lock commitments related to mortgage loans and forward sale commitments to third-party investors are also considered derivatives. It is the Corporation's practice to enter into forward commitments for the future delivery of residential mortgage loans when interest rate lock commitments are entered into in order to economically hedge the effect of changes in interest rates resulting from its commitments to fund the loans. These mortgage banking derivatives are not designated in hedge relationships. Fair values were estimated using observable market inputs, primarily changes in mortgage interest rates, from the date of the commitment to the reporting date. Changes in the fair value of these mortgage banking derivatives are included in "Net gains and fees on sales of loans" in the Consolidated Condensed Statements of Income.</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500"/>
        <w:spacing w:after="0" w:line="305" w:lineRule="auto"/>
        <w:rPr>
          <w:sz w:val="20"/>
          <w:szCs w:val="20"/>
          <w:color w:val="auto"/>
        </w:rPr>
      </w:pPr>
      <w:r>
        <w:rPr>
          <w:rFonts w:ascii="Arial" w:cs="Arial" w:eastAsia="Arial" w:hAnsi="Arial"/>
          <w:sz w:val="14"/>
          <w:szCs w:val="14"/>
          <w:color w:val="auto"/>
        </w:rPr>
        <w:t>The table below presents the fair value of the Corporation’s non-designated hedges, as well as their classification on the Consolidated Condensed Balance Sheets, as of September 30,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1"/>
                <w:szCs w:val="11"/>
                <w:b w:val="1"/>
                <w:bCs w:val="1"/>
                <w:color w:val="auto"/>
              </w:rPr>
              <w:t>September 30, 2026</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Notional Amount</w:t>
            </w: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Notional Amount</w:t>
            </w:r>
          </w:p>
        </w:tc>
        <w:tc>
          <w:tcPr>
            <w:tcW w:w="220" w:type="dxa"/>
            <w:vAlign w:val="bottom"/>
          </w:tcPr>
          <w:p>
            <w:pPr>
              <w:spacing w:after="0"/>
              <w:rPr>
                <w:sz w:val="13"/>
                <w:szCs w:val="13"/>
                <w:color w:val="auto"/>
              </w:rPr>
            </w:pPr>
          </w:p>
        </w:tc>
        <w:tc>
          <w:tcPr>
            <w:tcW w:w="1040" w:type="dxa"/>
            <w:vAlign w:val="bottom"/>
          </w:tcPr>
          <w:p>
            <w:pPr>
              <w:jc w:val="right"/>
              <w:ind w:right="326"/>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2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Included in other assets:</w:t>
            </w: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04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840" w:type="dxa"/>
            <w:vAlign w:val="bottom"/>
          </w:tcPr>
          <w:p>
            <w:pPr>
              <w:ind w:left="240"/>
              <w:spacing w:after="0"/>
              <w:rPr>
                <w:sz w:val="20"/>
                <w:szCs w:val="20"/>
                <w:color w:val="auto"/>
              </w:rPr>
            </w:pPr>
            <w:r>
              <w:rPr>
                <w:rFonts w:ascii="Arial" w:cs="Arial" w:eastAsia="Arial" w:hAnsi="Arial"/>
                <w:sz w:val="11"/>
                <w:szCs w:val="11"/>
                <w:color w:val="auto"/>
              </w:rPr>
              <w:t>Interest rate swaps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1,631,937</w:t>
            </w:r>
          </w:p>
        </w:tc>
        <w:tc>
          <w:tcPr>
            <w:tcW w:w="12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75,633</w:t>
            </w:r>
          </w:p>
        </w:tc>
        <w:tc>
          <w:tcPr>
            <w:tcW w:w="12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1,529,421</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47,850</w:t>
            </w:r>
          </w:p>
        </w:tc>
        <w:tc>
          <w:tcPr>
            <w:tcW w:w="0" w:type="dxa"/>
            <w:vAlign w:val="bottom"/>
          </w:tcPr>
          <w:p>
            <w:pPr>
              <w:spacing w:after="0"/>
              <w:rPr>
                <w:sz w:val="1"/>
                <w:szCs w:val="1"/>
                <w:color w:val="auto"/>
              </w:rPr>
            </w:pPr>
          </w:p>
        </w:tc>
      </w:tr>
      <w:tr>
        <w:trPr>
          <w:trHeight w:val="152"/>
        </w:trPr>
        <w:tc>
          <w:tcPr>
            <w:tcW w:w="5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Forward contracts related to mortgage loans to be delivered for sale</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49,522</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840</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15,217</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Interest rate lock commitments</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4,025</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26,595</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87"/>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Included in other assets</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1,685,484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76,495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1,571,233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48,468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Included in other 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8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Interest rate swaps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1,726,802</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75,574</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1,668,136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47,879</w:t>
            </w:r>
          </w:p>
        </w:tc>
        <w:tc>
          <w:tcPr>
            <w:tcW w:w="0" w:type="dxa"/>
            <w:vAlign w:val="bottom"/>
          </w:tcPr>
          <w:p>
            <w:pPr>
              <w:spacing w:after="0"/>
              <w:rPr>
                <w:sz w:val="1"/>
                <w:szCs w:val="1"/>
                <w:color w:val="auto"/>
              </w:rPr>
            </w:pPr>
          </w:p>
        </w:tc>
      </w:tr>
      <w:tr>
        <w:trPr>
          <w:trHeight w:val="142"/>
        </w:trPr>
        <w:tc>
          <w:tcPr>
            <w:tcW w:w="5840" w:type="dxa"/>
            <w:vAlign w:val="bottom"/>
          </w:tcPr>
          <w:p>
            <w:pPr>
              <w:ind w:left="240"/>
              <w:spacing w:after="0"/>
              <w:rPr>
                <w:sz w:val="20"/>
                <w:szCs w:val="20"/>
                <w:color w:val="auto"/>
              </w:rPr>
            </w:pPr>
            <w:r>
              <w:rPr>
                <w:rFonts w:ascii="Arial" w:cs="Arial" w:eastAsia="Arial" w:hAnsi="Arial"/>
                <w:sz w:val="11"/>
                <w:szCs w:val="11"/>
                <w:color w:val="auto"/>
              </w:rPr>
              <w:t>Forward contracts related to mortgage loans to be delivered for sale</w:t>
            </w:r>
          </w:p>
        </w:tc>
        <w:tc>
          <w:tcPr>
            <w:tcW w:w="1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16,853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25,000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Interest rate lock commitments</w:t>
            </w: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31,920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2,246</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5840" w:type="dxa"/>
            <w:vAlign w:val="bottom"/>
          </w:tcPr>
          <w:p>
            <w:pPr>
              <w:ind w:left="360"/>
              <w:spacing w:after="0"/>
              <w:rPr>
                <w:sz w:val="20"/>
                <w:szCs w:val="20"/>
                <w:color w:val="auto"/>
              </w:rPr>
            </w:pPr>
            <w:r>
              <w:rPr>
                <w:rFonts w:ascii="Arial" w:cs="Arial" w:eastAsia="Arial" w:hAnsi="Arial"/>
                <w:sz w:val="11"/>
                <w:szCs w:val="11"/>
                <w:color w:val="auto"/>
              </w:rPr>
              <w:t>Included in other liabilities</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1,775,575</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76,204</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1,695,382</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47,980</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440"/>
        <w:spacing w:after="0" w:line="305" w:lineRule="auto"/>
        <w:rPr>
          <w:sz w:val="20"/>
          <w:szCs w:val="20"/>
          <w:color w:val="auto"/>
        </w:rPr>
      </w:pPr>
      <w:r>
        <w:rPr>
          <w:rFonts w:ascii="Arial" w:cs="Arial" w:eastAsia="Arial" w:hAnsi="Arial"/>
          <w:sz w:val="14"/>
          <w:szCs w:val="14"/>
          <w:color w:val="auto"/>
        </w:rPr>
        <w:t>In the normal course of business, the Corporation may decide to settle a forward contract rather than fulfill the contract. Cash received or paid in this settlement manner is included in "Net gains and fees on sales of loans" in the Consolidated Condensed Statements of Income and is considered a cost of executing a forward contract.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amount of gain (loss) recognized into income related to non-designated hedging instruments is included in the tables below for the periods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3"/>
          </w:tcPr>
          <w:p>
            <w:pPr>
              <w:jc w:val="center"/>
              <w:ind w:left="1026"/>
              <w:spacing w:after="0"/>
              <w:rPr>
                <w:sz w:val="20"/>
                <w:szCs w:val="20"/>
                <w:color w:val="auto"/>
              </w:rPr>
            </w:pPr>
            <w:r>
              <w:rPr>
                <w:rFonts w:ascii="Arial" w:cs="Arial" w:eastAsia="Arial" w:hAnsi="Arial"/>
                <w:sz w:val="11"/>
                <w:szCs w:val="11"/>
                <w:b w:val="1"/>
                <w:bCs w:val="1"/>
                <w:color w:val="auto"/>
                <w:w w:val="97"/>
              </w:rPr>
              <w:t>Amount of Gain (Loss)</w:t>
            </w:r>
          </w:p>
        </w:tc>
        <w:tc>
          <w:tcPr>
            <w:tcW w:w="1160" w:type="dxa"/>
            <w:vAlign w:val="bottom"/>
          </w:tcPr>
          <w:p>
            <w:pPr>
              <w:spacing w:after="0"/>
              <w:rPr>
                <w:sz w:val="10"/>
                <w:szCs w:val="10"/>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3"/>
          </w:tcPr>
          <w:p>
            <w:pPr>
              <w:jc w:val="center"/>
              <w:ind w:left="1026"/>
              <w:spacing w:after="0" w:line="108" w:lineRule="exact"/>
              <w:rPr>
                <w:sz w:val="20"/>
                <w:szCs w:val="20"/>
                <w:color w:val="auto"/>
              </w:rPr>
            </w:pPr>
            <w:r>
              <w:rPr>
                <w:rFonts w:ascii="Arial" w:cs="Arial" w:eastAsia="Arial" w:hAnsi="Arial"/>
                <w:sz w:val="11"/>
                <w:szCs w:val="11"/>
                <w:b w:val="1"/>
                <w:bCs w:val="1"/>
                <w:color w:val="auto"/>
                <w:w w:val="97"/>
              </w:rPr>
              <w:t>Recognized into Income on</w:t>
            </w:r>
          </w:p>
        </w:tc>
        <w:tc>
          <w:tcPr>
            <w:tcW w:w="1160" w:type="dxa"/>
            <w:vAlign w:val="bottom"/>
          </w:tcPr>
          <w:p>
            <w:pPr>
              <w:spacing w:after="0"/>
              <w:rPr>
                <w:sz w:val="9"/>
                <w:szCs w:val="9"/>
                <w:color w:val="auto"/>
              </w:rPr>
            </w:pPr>
          </w:p>
        </w:tc>
      </w:tr>
      <w:tr>
        <w:trPr>
          <w:trHeight w:val="155"/>
        </w:trPr>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Location of Gain (Loss)</w:t>
            </w:r>
          </w:p>
        </w:tc>
        <w:tc>
          <w:tcPr>
            <w:tcW w:w="80" w:type="dxa"/>
            <w:vAlign w:val="bottom"/>
          </w:tcPr>
          <w:p>
            <w:pPr>
              <w:spacing w:after="0"/>
              <w:rPr>
                <w:sz w:val="13"/>
                <w:szCs w:val="13"/>
                <w:color w:val="auto"/>
              </w:rPr>
            </w:pPr>
          </w:p>
        </w:tc>
        <w:tc>
          <w:tcPr>
            <w:tcW w:w="2560" w:type="dxa"/>
            <w:vAlign w:val="bottom"/>
            <w:gridSpan w:val="3"/>
          </w:tcPr>
          <w:p>
            <w:pPr>
              <w:jc w:val="center"/>
              <w:ind w:left="1006"/>
              <w:spacing w:after="0"/>
              <w:rPr>
                <w:sz w:val="20"/>
                <w:szCs w:val="20"/>
                <w:color w:val="auto"/>
              </w:rPr>
            </w:pPr>
            <w:r>
              <w:rPr>
                <w:rFonts w:ascii="Arial" w:cs="Arial" w:eastAsia="Arial" w:hAnsi="Arial"/>
                <w:sz w:val="11"/>
                <w:szCs w:val="11"/>
                <w:b w:val="1"/>
                <w:bCs w:val="1"/>
                <w:color w:val="auto"/>
                <w:w w:val="98"/>
              </w:rPr>
              <w:t>Derivatives</w:t>
            </w:r>
          </w:p>
        </w:tc>
        <w:tc>
          <w:tcPr>
            <w:tcW w:w="1160" w:type="dxa"/>
            <w:vAlign w:val="bottom"/>
          </w:tcPr>
          <w:p>
            <w:pPr>
              <w:spacing w:after="0"/>
              <w:rPr>
                <w:sz w:val="13"/>
                <w:szCs w:val="13"/>
                <w:color w:val="auto"/>
              </w:rPr>
            </w:pPr>
          </w:p>
        </w:tc>
      </w:tr>
      <w:tr>
        <w:trPr>
          <w:trHeight w:val="115"/>
        </w:trPr>
        <w:tc>
          <w:tcPr>
            <w:tcW w:w="458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8"/>
              </w:rPr>
              <w:t>Derivatives Not Designated as</w:t>
            </w:r>
          </w:p>
        </w:tc>
        <w:tc>
          <w:tcPr>
            <w:tcW w:w="286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97"/>
              </w:rPr>
              <w:t>Recognized in Income on</w:t>
            </w:r>
          </w:p>
        </w:tc>
        <w:tc>
          <w:tcPr>
            <w:tcW w:w="80" w:type="dxa"/>
            <w:vAlign w:val="bottom"/>
          </w:tcPr>
          <w:p>
            <w:pPr>
              <w:spacing w:after="0"/>
              <w:rPr>
                <w:sz w:val="10"/>
                <w:szCs w:val="10"/>
                <w:color w:val="auto"/>
              </w:rPr>
            </w:pPr>
          </w:p>
        </w:tc>
        <w:tc>
          <w:tcPr>
            <w:tcW w:w="188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98"/>
              </w:rPr>
              <w:t>Three Months Ended September</w:t>
            </w:r>
          </w:p>
        </w:tc>
        <w:tc>
          <w:tcPr>
            <w:tcW w:w="1840" w:type="dxa"/>
            <w:vAlign w:val="bottom"/>
            <w:gridSpan w:val="2"/>
          </w:tcPr>
          <w:p>
            <w:pPr>
              <w:jc w:val="right"/>
              <w:ind w:right="46"/>
              <w:spacing w:after="0" w:line="115" w:lineRule="exact"/>
              <w:rPr>
                <w:sz w:val="20"/>
                <w:szCs w:val="20"/>
                <w:color w:val="auto"/>
              </w:rPr>
            </w:pPr>
            <w:r>
              <w:rPr>
                <w:rFonts w:ascii="Arial" w:cs="Arial" w:eastAsia="Arial" w:hAnsi="Arial"/>
                <w:sz w:val="11"/>
                <w:szCs w:val="11"/>
                <w:b w:val="1"/>
                <w:bCs w:val="1"/>
                <w:color w:val="auto"/>
              </w:rPr>
              <w:t>Three Months Ended September</w:t>
            </w:r>
          </w:p>
        </w:tc>
      </w:tr>
      <w:tr>
        <w:trPr>
          <w:trHeight w:val="15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Hedging Instruments under FASB ASC 815-10</w:t>
            </w:r>
          </w:p>
        </w:tc>
        <w:tc>
          <w:tcPr>
            <w:tcW w:w="100" w:type="dxa"/>
            <w:vAlign w:val="bottom"/>
            <w:tcBorders>
              <w:bottom w:val="single" w:sz="8" w:color="CCEEFF"/>
            </w:tcBorders>
          </w:tcPr>
          <w:p>
            <w:pPr>
              <w:spacing w:after="0"/>
              <w:rPr>
                <w:sz w:val="13"/>
                <w:szCs w:val="13"/>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Derivative</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30, 2026</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7"/>
              </w:rPr>
              <w:t>30, 2025</w:t>
            </w:r>
          </w:p>
        </w:tc>
      </w:tr>
      <w:tr>
        <w:trPr>
          <w:trHeight w:val="14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Forward contracts related to mortgage loans to be delivered for sale</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8"/>
              </w:rPr>
              <w:t>Net gains and fees on sales of loans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693</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(616)</w:t>
            </w:r>
          </w:p>
        </w:tc>
      </w:tr>
      <w:tr>
        <w:trPr>
          <w:trHeight w:val="155"/>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Interest rate lock commitments</w:t>
            </w:r>
          </w:p>
        </w:tc>
        <w:tc>
          <w:tcPr>
            <w:tcW w:w="28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1"/>
                <w:szCs w:val="11"/>
                <w:color w:val="auto"/>
                <w:w w:val="98"/>
              </w:rPr>
              <w:t>Net gains and fees on sales of loans</w:t>
            </w: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(668)</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w:t>
            </w:r>
          </w:p>
        </w:tc>
      </w:tr>
      <w:tr>
        <w:trPr>
          <w:trHeight w:val="18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net gain (loss) recognized in income</w:t>
            </w:r>
          </w:p>
        </w:tc>
        <w:tc>
          <w:tcPr>
            <w:tcW w:w="2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3"/>
          </w:tcPr>
          <w:p>
            <w:pPr>
              <w:jc w:val="center"/>
              <w:ind w:left="1026"/>
              <w:spacing w:after="0"/>
              <w:rPr>
                <w:sz w:val="20"/>
                <w:szCs w:val="20"/>
                <w:color w:val="auto"/>
              </w:rPr>
            </w:pPr>
            <w:r>
              <w:rPr>
                <w:rFonts w:ascii="Arial" w:cs="Arial" w:eastAsia="Arial" w:hAnsi="Arial"/>
                <w:sz w:val="11"/>
                <w:szCs w:val="11"/>
                <w:b w:val="1"/>
                <w:bCs w:val="1"/>
                <w:color w:val="auto"/>
                <w:w w:val="97"/>
              </w:rPr>
              <w:t>Amount of Gain (Loss)</w:t>
            </w:r>
          </w:p>
        </w:tc>
        <w:tc>
          <w:tcPr>
            <w:tcW w:w="1160" w:type="dxa"/>
            <w:vAlign w:val="bottom"/>
          </w:tcPr>
          <w:p>
            <w:pPr>
              <w:spacing w:after="0"/>
              <w:rPr>
                <w:sz w:val="24"/>
                <w:szCs w:val="24"/>
                <w:color w:val="auto"/>
              </w:rPr>
            </w:pPr>
          </w:p>
        </w:tc>
      </w:tr>
      <w:tr>
        <w:trPr>
          <w:trHeight w:val="108"/>
        </w:trPr>
        <w:tc>
          <w:tcPr>
            <w:tcW w:w="4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3"/>
          </w:tcPr>
          <w:p>
            <w:pPr>
              <w:jc w:val="center"/>
              <w:ind w:left="1026"/>
              <w:spacing w:after="0" w:line="108" w:lineRule="exact"/>
              <w:rPr>
                <w:sz w:val="20"/>
                <w:szCs w:val="20"/>
                <w:color w:val="auto"/>
              </w:rPr>
            </w:pPr>
            <w:r>
              <w:rPr>
                <w:rFonts w:ascii="Arial" w:cs="Arial" w:eastAsia="Arial" w:hAnsi="Arial"/>
                <w:sz w:val="11"/>
                <w:szCs w:val="11"/>
                <w:b w:val="1"/>
                <w:bCs w:val="1"/>
                <w:color w:val="auto"/>
                <w:w w:val="97"/>
              </w:rPr>
              <w:t>Recognized into Income on</w:t>
            </w:r>
          </w:p>
        </w:tc>
        <w:tc>
          <w:tcPr>
            <w:tcW w:w="1160" w:type="dxa"/>
            <w:vAlign w:val="bottom"/>
          </w:tcPr>
          <w:p>
            <w:pPr>
              <w:spacing w:after="0"/>
              <w:rPr>
                <w:sz w:val="9"/>
                <w:szCs w:val="9"/>
                <w:color w:val="auto"/>
              </w:rPr>
            </w:pPr>
          </w:p>
        </w:tc>
      </w:tr>
      <w:tr>
        <w:trPr>
          <w:trHeight w:val="155"/>
        </w:trPr>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Location of Gain (Loss)</w:t>
            </w:r>
          </w:p>
        </w:tc>
        <w:tc>
          <w:tcPr>
            <w:tcW w:w="80" w:type="dxa"/>
            <w:vAlign w:val="bottom"/>
          </w:tcPr>
          <w:p>
            <w:pPr>
              <w:spacing w:after="0"/>
              <w:rPr>
                <w:sz w:val="13"/>
                <w:szCs w:val="13"/>
                <w:color w:val="auto"/>
              </w:rPr>
            </w:pPr>
          </w:p>
        </w:tc>
        <w:tc>
          <w:tcPr>
            <w:tcW w:w="2560" w:type="dxa"/>
            <w:vAlign w:val="bottom"/>
            <w:gridSpan w:val="3"/>
          </w:tcPr>
          <w:p>
            <w:pPr>
              <w:jc w:val="center"/>
              <w:ind w:left="1006"/>
              <w:spacing w:after="0"/>
              <w:rPr>
                <w:sz w:val="20"/>
                <w:szCs w:val="20"/>
                <w:color w:val="auto"/>
              </w:rPr>
            </w:pPr>
            <w:r>
              <w:rPr>
                <w:rFonts w:ascii="Arial" w:cs="Arial" w:eastAsia="Arial" w:hAnsi="Arial"/>
                <w:sz w:val="11"/>
                <w:szCs w:val="11"/>
                <w:b w:val="1"/>
                <w:bCs w:val="1"/>
                <w:color w:val="auto"/>
                <w:w w:val="98"/>
              </w:rPr>
              <w:t>Derivatives</w:t>
            </w:r>
          </w:p>
        </w:tc>
        <w:tc>
          <w:tcPr>
            <w:tcW w:w="1160" w:type="dxa"/>
            <w:vAlign w:val="bottom"/>
          </w:tcPr>
          <w:p>
            <w:pPr>
              <w:spacing w:after="0"/>
              <w:rPr>
                <w:sz w:val="13"/>
                <w:szCs w:val="13"/>
                <w:color w:val="auto"/>
              </w:rPr>
            </w:pPr>
          </w:p>
        </w:tc>
      </w:tr>
      <w:tr>
        <w:trPr>
          <w:trHeight w:val="115"/>
        </w:trPr>
        <w:tc>
          <w:tcPr>
            <w:tcW w:w="458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8"/>
              </w:rPr>
              <w:t>Derivatives Not Designated as</w:t>
            </w:r>
          </w:p>
        </w:tc>
        <w:tc>
          <w:tcPr>
            <w:tcW w:w="286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97"/>
              </w:rPr>
              <w:t>Recognized in Income on</w:t>
            </w:r>
          </w:p>
        </w:tc>
        <w:tc>
          <w:tcPr>
            <w:tcW w:w="1960" w:type="dxa"/>
            <w:vAlign w:val="bottom"/>
            <w:gridSpan w:val="3"/>
          </w:tcPr>
          <w:p>
            <w:pPr>
              <w:jc w:val="center"/>
              <w:ind w:right="140"/>
              <w:spacing w:after="0" w:line="115" w:lineRule="exact"/>
              <w:rPr>
                <w:sz w:val="20"/>
                <w:szCs w:val="20"/>
                <w:color w:val="auto"/>
              </w:rPr>
            </w:pPr>
            <w:r>
              <w:rPr>
                <w:rFonts w:ascii="Arial" w:cs="Arial" w:eastAsia="Arial" w:hAnsi="Arial"/>
                <w:sz w:val="11"/>
                <w:szCs w:val="11"/>
                <w:b w:val="1"/>
                <w:bCs w:val="1"/>
                <w:color w:val="auto"/>
                <w:w w:val="98"/>
              </w:rPr>
              <w:t>Nine Months Ended September 30,</w:t>
            </w:r>
          </w:p>
        </w:tc>
        <w:tc>
          <w:tcPr>
            <w:tcW w:w="184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w w:val="98"/>
              </w:rPr>
              <w:t>Nine Months Ended September 30,</w:t>
            </w:r>
          </w:p>
        </w:tc>
      </w:tr>
      <w:tr>
        <w:trPr>
          <w:trHeight w:val="15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Hedging Instruments under FASB ASC 815-10</w:t>
            </w:r>
          </w:p>
        </w:tc>
        <w:tc>
          <w:tcPr>
            <w:tcW w:w="100" w:type="dxa"/>
            <w:vAlign w:val="bottom"/>
            <w:tcBorders>
              <w:bottom w:val="single" w:sz="8" w:color="CCEEFF"/>
            </w:tcBorders>
          </w:tcPr>
          <w:p>
            <w:pPr>
              <w:spacing w:after="0"/>
              <w:rPr>
                <w:sz w:val="13"/>
                <w:szCs w:val="13"/>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Derivative</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b w:val="1"/>
                <w:bCs w:val="1"/>
                <w:color w:val="auto"/>
              </w:rPr>
              <w:t>2025</w:t>
            </w:r>
          </w:p>
        </w:tc>
      </w:tr>
      <w:tr>
        <w:trPr>
          <w:trHeight w:val="142"/>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Forward contracts related to mortgage loans to be delivered for sale</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8"/>
              </w:rPr>
              <w:t>Net gains and fees on sales of loans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1,492</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(542)</w:t>
            </w:r>
          </w:p>
        </w:tc>
      </w:tr>
      <w:tr>
        <w:trPr>
          <w:trHeight w:val="155"/>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Interest rate lock commitments</w:t>
            </w:r>
          </w:p>
        </w:tc>
        <w:tc>
          <w:tcPr>
            <w:tcW w:w="28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1"/>
                <w:szCs w:val="11"/>
                <w:color w:val="auto"/>
                <w:w w:val="98"/>
              </w:rPr>
              <w:t>Net gains and fees on sales of loans</w:t>
            </w: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151</w:t>
            </w:r>
          </w:p>
        </w:tc>
      </w:tr>
      <w:tr>
        <w:trPr>
          <w:trHeight w:val="187"/>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net gain (loss) recognized in income</w:t>
            </w:r>
          </w:p>
        </w:tc>
        <w:tc>
          <w:tcPr>
            <w:tcW w:w="2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7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814</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Corporation’s exposure to credit risk occurs because of nonperformance by its counterparties. The counterparties approved by the Corporation are usually financial institutions, which are well capitalized and have credit ratings through Moody’s and/or Standard &amp; Poor’s at or above investment grade. The Corporation’s mitigation of such risk is through quarterly financial reviews, comparing mark-to-market values with policy limitations, credit ratings and collateral pledging.</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Credit-Risk-Related Contingent Features</w:t>
      </w:r>
    </w:p>
    <w:p>
      <w:pPr>
        <w:spacing w:after="0" w:line="256"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Corporation has agreements with certain of its derivative counterparties that contain a provision where if the Corporation fails to maintain its status as a well or adequately capitalized institution, then the Corporation could be required to terminate or fully collateralize all outstanding derivative contracts. Additionally, the Corporation has agreements with certain of its derivative counterparties that contain a provision where if the Corporation defaults on any of its indebtedness, including default where repayment of the indebtedness has not been accelerated by the lender, then the Corporation could also be declared in default on its derivative obligations. As of September 30, 2026, the net termination value of derivatives in a liability position under these agreements was $0.7 million, for which $0.1 million of collateral had been pledged to counterparties. While the Corporation did not breach any of these provisions as of September 30, 2026, if it had, the Corporation could have been required to settle its obligations under the agreements at their termination value.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VALUES OF FINANCIAL INSTRUMENTS</w:t>
      </w:r>
    </w:p>
    <w:p>
      <w:pPr>
        <w:spacing w:after="0" w:line="258" w:lineRule="exact"/>
        <w:rPr>
          <w:sz w:val="20"/>
          <w:szCs w:val="20"/>
          <w:color w:val="auto"/>
        </w:rPr>
      </w:pPr>
    </w:p>
    <w:p>
      <w:pPr>
        <w:jc w:val="both"/>
        <w:ind w:right="60"/>
        <w:spacing w:after="0" w:line="283" w:lineRule="auto"/>
        <w:rPr>
          <w:sz w:val="20"/>
          <w:szCs w:val="20"/>
          <w:color w:val="auto"/>
        </w:rPr>
      </w:pPr>
      <w:r>
        <w:rPr>
          <w:rFonts w:ascii="Arial" w:cs="Arial" w:eastAsia="Arial" w:hAnsi="Arial"/>
          <w:sz w:val="14"/>
          <w:szCs w:val="14"/>
          <w:color w:val="auto"/>
        </w:rPr>
        <w:t>The Corporation uses fair value measurements to adjust certain assets and liabilities and to provide fair value disclosures. ASC 820 defines fair value, establishes a framework for measuring it and expands related disclosure requirements. It applies only when other accounting guidance requires or permits fair value measurement and does not expand its use to new circumstances.</w:t>
      </w:r>
    </w:p>
    <w:p>
      <w:pPr>
        <w:spacing w:after="0" w:line="20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 market participants. It represents an exit price at the measurement date. Market participants are buyers and sellers, who are independent, knowledgeable, and willing and able to transact in the principal (or most advantageous) market for the asset or liability being measured. The Corporation values its assets and liabilities in the principal market where it sells the asset or transfers the liability with the greatest volume and level of activity. If no principal market exists, valuation is based on the most advantageous market — one that maximizes the asset’s sale price or minimizes the liability’s transfer cost.</w:t>
      </w:r>
    </w:p>
    <w:p>
      <w:pPr>
        <w:spacing w:after="0" w:line="211" w:lineRule="exact"/>
        <w:rPr>
          <w:sz w:val="20"/>
          <w:szCs w:val="20"/>
          <w:color w:val="auto"/>
        </w:rPr>
      </w:pPr>
    </w:p>
    <w:p>
      <w:pPr>
        <w:ind w:right="460"/>
        <w:spacing w:after="0" w:line="269" w:lineRule="auto"/>
        <w:rPr>
          <w:sz w:val="20"/>
          <w:szCs w:val="20"/>
          <w:color w:val="auto"/>
        </w:rPr>
      </w:pPr>
      <w:r>
        <w:rPr>
          <w:rFonts w:ascii="Arial" w:cs="Arial" w:eastAsia="Arial" w:hAnsi="Arial"/>
          <w:sz w:val="14"/>
          <w:szCs w:val="14"/>
          <w:color w:val="auto"/>
        </w:rPr>
        <w:t>Valuation inputs reflect assumptions that market participants would use to price an asset or liability. These inputs are categorized as either observable or unobservable. Observable inputs are based on market data from independent sources and reflect assumptions market participants would use. Unobservable inputs are derived from the Corporation’s own estimates, reflecting assumptions market participants might use when market data is not available. These rely on the best available information at the measurement date.</w:t>
      </w:r>
    </w:p>
    <w:p>
      <w:pPr>
        <w:spacing w:after="0" w:line="210"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Inputs are ranked within a three-level fair value hierarchy. Level 1 inputs consist of quoted prices (unadjusted) in active markets for identical assets or liabilities. Level 2 inputs are based on one or more of the following: quoted prices for similar assets, observable inputs such as interest rates or yield curves, or inputs corroborated by market data. Level 3 inputs are unobservable and reflect minimal market activity.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An input is considered significant if it contributes 10 percent or more to the total fair value of the asset or liability.</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RECURRING AND NONRECURRING FAIR VALUE MEASUREMENTS</w:t>
      </w:r>
    </w:p>
    <w:p>
      <w:pPr>
        <w:spacing w:after="0" w:line="258"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Assets and liabilities are considered to be measured at fair value on a recurring basis if fair value is measured regularly — such as daily, weekly, monthly, or quarterly. Recurring valuation occurs at least on the measurement date. Assets and liabilities are considered to be measured at fair value on a nonrecurring basis if the fair value measurement is not performed regularly and does not necessarily result in a change to the recorded balance sheet amount. Generally, nonrecurring valuation is the result of the application of other accounting pronouncements which require assets or liabilities to be assessed for impairment and recorded at the lower of cost or fair value. The fair value of assets or liabilities transferred in or out of Level 3 is measured on the transfer date, with any additional changes in fair value subsequent to the transfer considered to be realized or unrealized gains or losses.</w:t>
      </w:r>
    </w:p>
    <w:p>
      <w:pPr>
        <w:spacing w:after="0" w:line="212" w:lineRule="exact"/>
        <w:rPr>
          <w:sz w:val="20"/>
          <w:szCs w:val="20"/>
          <w:color w:val="auto"/>
        </w:rPr>
      </w:pPr>
    </w:p>
    <w:p>
      <w:pPr>
        <w:ind w:right="2100"/>
        <w:spacing w:after="0" w:line="285" w:lineRule="auto"/>
        <w:rPr>
          <w:sz w:val="20"/>
          <w:szCs w:val="20"/>
          <w:color w:val="auto"/>
        </w:rPr>
      </w:pPr>
      <w:r>
        <w:rPr>
          <w:rFonts w:ascii="Arial" w:cs="Arial" w:eastAsia="Arial" w:hAnsi="Arial"/>
          <w:sz w:val="14"/>
          <w:szCs w:val="14"/>
          <w:color w:val="auto"/>
        </w:rPr>
        <w:t>Following is a description of the valuation methodologies used for instruments measured at fair value on a recurring basis and recognized in the accompanying balance sheets, as well as the general classification of such instruments pursuant to the valuation hierarchy.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Securities</w:t>
      </w:r>
    </w:p>
    <w:p>
      <w:pPr>
        <w:spacing w:after="0" w:line="256"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Where quoted prices are available in an active market, securities are classified within Level 1 of the valuation hierarchy. As of September 30, 2026, and December 31, 2025 the Corporation did not hold any Level 1 securities. Where significant observable inputs, other than Level 1 quoted prices, are available, securities are classified within Level 2 of the valuation hierarchy. Level 2 securities include U.S. Government-sponsored agency and mortgage-backed securities, state and municipal securities, foreign investment and corporate obligations. In certain cases where Level 1 or Level 2 inputs are not available, securities are classified within Level 3 of the hierarchy and include state and municipal securities and corporate obligations. Fair values for Level 3 securities were determined using discounted cash flow models that incorporated market estimates of interest rates and volatility in markets that have not been active.</w:t>
      </w:r>
    </w:p>
    <w:p>
      <w:pPr>
        <w:spacing w:after="0" w:line="212"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Third party vendors compile prices from various sources and may apply such techniques as matrix pricing to determine the value of identical or similar investment securities (Level 2). Matrix pricing is a mathematical technique widely used in the banking industry to value investment securities without relying exclusively on quoted prices for specific investment securities but rather relying on the investment securities’ relationship to other benchmark quoted investment securities. Any investment security not valued based upon the methods above is considered Level 3.</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Loans Held for Sale</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Loans held for sale are carried at the lower of amortized cost basis or fair value, determined at the individual loan level, and are intended for sale in the secondary market. Certain loans classified as held for sale continue to be carried at amortized cost as their cost basis does not exceed fair value and, accordingly, are not included in the fair value measurement disclosures below.</w:t>
      </w:r>
    </w:p>
    <w:p>
      <w:pPr>
        <w:spacing w:after="0" w:line="207" w:lineRule="exact"/>
        <w:rPr>
          <w:sz w:val="20"/>
          <w:szCs w:val="20"/>
          <w:color w:val="auto"/>
        </w:rPr>
      </w:pPr>
    </w:p>
    <w:p>
      <w:pPr>
        <w:ind w:right="120"/>
        <w:spacing w:after="0" w:line="176" w:lineRule="exact"/>
        <w:rPr>
          <w:sz w:val="20"/>
          <w:szCs w:val="20"/>
          <w:color w:val="auto"/>
        </w:rPr>
      </w:pPr>
      <w:r>
        <w:rPr>
          <w:rFonts w:ascii="Arial" w:cs="Arial" w:eastAsia="Arial" w:hAnsi="Arial"/>
          <w:sz w:val="14"/>
          <w:szCs w:val="14"/>
          <w:color w:val="auto"/>
        </w:rPr>
        <w:t>Loans held for sale that are written down to fair value, including loans reclassified from held for investment when management commits to a plan to sell, are measured at fair value on a nonrecurring basis and are included within Level 2 of the fair value hierarchy. Fair value is determined using observable market</w:t>
      </w:r>
      <w:r>
        <w:rPr>
          <w:rFonts w:ascii="MS PGothic" w:cs="MS PGothic" w:eastAsia="MS PGothic" w:hAnsi="MS PGothic"/>
          <w:sz w:val="14"/>
          <w:szCs w:val="14"/>
          <w:color w:val="auto"/>
        </w:rPr>
        <w:t>‑</w:t>
      </w:r>
      <w:r>
        <w:rPr>
          <w:rFonts w:ascii="Arial" w:cs="Arial" w:eastAsia="Arial" w:hAnsi="Arial"/>
          <w:sz w:val="14"/>
          <w:szCs w:val="14"/>
          <w:color w:val="auto"/>
        </w:rPr>
        <w:t>based inputs, including pricing obtained from third</w:t>
      </w:r>
      <w:r>
        <w:rPr>
          <w:rFonts w:ascii="MS PGothic" w:cs="MS PGothic" w:eastAsia="MS PGothic" w:hAnsi="MS PGothic"/>
          <w:sz w:val="14"/>
          <w:szCs w:val="14"/>
          <w:color w:val="auto"/>
        </w:rPr>
        <w:t>‑</w:t>
      </w:r>
      <w:r>
        <w:rPr>
          <w:rFonts w:ascii="Arial" w:cs="Arial" w:eastAsia="Arial" w:hAnsi="Arial"/>
          <w:sz w:val="14"/>
          <w:szCs w:val="14"/>
          <w:color w:val="auto"/>
        </w:rPr>
        <w:t>party investors for similar residential mortgage loans, adjusted for loan</w:t>
      </w:r>
      <w:r>
        <w:rPr>
          <w:rFonts w:ascii="MS PGothic" w:cs="MS PGothic" w:eastAsia="MS PGothic" w:hAnsi="MS PGothic"/>
          <w:sz w:val="14"/>
          <w:szCs w:val="14"/>
          <w:color w:val="auto"/>
        </w:rPr>
        <w:t>‑</w:t>
      </w:r>
      <w:r>
        <w:rPr>
          <w:rFonts w:ascii="Arial" w:cs="Arial" w:eastAsia="Arial" w:hAnsi="Arial"/>
          <w:sz w:val="14"/>
          <w:szCs w:val="14"/>
          <w:color w:val="auto"/>
        </w:rPr>
        <w:t>specific characteristics such as coupon, term, credit quality, and expected execution costs. Quoted prices for identical instruments in active markets are generally not available for these loans.</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380"/>
        <w:spacing w:after="0" w:line="305" w:lineRule="auto"/>
        <w:rPr>
          <w:sz w:val="20"/>
          <w:szCs w:val="20"/>
          <w:color w:val="auto"/>
        </w:rPr>
      </w:pPr>
      <w:r>
        <w:rPr>
          <w:rFonts w:ascii="Arial" w:cs="Arial" w:eastAsia="Arial" w:hAnsi="Arial"/>
          <w:sz w:val="14"/>
          <w:szCs w:val="14"/>
          <w:color w:val="auto"/>
        </w:rPr>
        <w:t>Loans held for sale that are carried at amortized cost are not subject to recurring fair value measurement and are therefore excluded from the tables presenting assets and liabilities measured at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Derivative Financial Agreements</w:t>
      </w:r>
    </w:p>
    <w:p>
      <w:pPr>
        <w:spacing w:after="0" w:line="242" w:lineRule="exact"/>
        <w:rPr>
          <w:sz w:val="20"/>
          <w:szCs w:val="20"/>
          <w:color w:val="auto"/>
        </w:rPr>
      </w:pPr>
    </w:p>
    <w:p>
      <w:pPr>
        <w:ind w:right="140"/>
        <w:spacing w:after="0" w:line="305" w:lineRule="auto"/>
        <w:rPr>
          <w:sz w:val="20"/>
          <w:szCs w:val="20"/>
          <w:color w:val="auto"/>
        </w:rPr>
      </w:pPr>
      <w:r>
        <w:rPr>
          <w:rFonts w:ascii="Arial" w:cs="Arial" w:eastAsia="Arial" w:hAnsi="Arial"/>
          <w:sz w:val="14"/>
          <w:szCs w:val="14"/>
          <w:color w:val="auto"/>
        </w:rPr>
        <w:t>See information regarding the Corporation’s derivative financial agreements in NOTE 6. DERIVATIVE FINANCIAL INSTRUMENTS of these Notes to Consolidated Condensed Financial Statements.</w:t>
      </w:r>
    </w:p>
    <w:p>
      <w:pPr>
        <w:spacing w:after="0" w:line="185"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The following tables present the fair value measurements of assets and liabilities measured at fair value in the accompanying balance sheets on a recurring basis, along with their classification within the fair value hierarchy as of September 30,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7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Fair Value Measurements Using:</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auto"/>
                <w:w w:val="97"/>
              </w:rPr>
              <w:t>Quoted Prices in Active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6"/>
              </w:rPr>
              <w:t>Significant Other</w:t>
            </w:r>
          </w:p>
        </w:tc>
        <w:tc>
          <w:tcPr>
            <w:tcW w:w="240" w:type="dxa"/>
            <w:vAlign w:val="bottom"/>
          </w:tcPr>
          <w:p>
            <w:pPr>
              <w:spacing w:after="0"/>
              <w:rPr>
                <w:sz w:val="10"/>
                <w:szCs w:val="10"/>
                <w:color w:val="auto"/>
              </w:rPr>
            </w:pPr>
          </w:p>
        </w:tc>
        <w:tc>
          <w:tcPr>
            <w:tcW w:w="130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auto"/>
                <w:w w:val="95"/>
              </w:rPr>
              <w:t>Significant</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jc w:val="center"/>
              <w:ind w:right="186"/>
              <w:spacing w:after="0" w:line="108" w:lineRule="exact"/>
              <w:rPr>
                <w:sz w:val="20"/>
                <w:szCs w:val="20"/>
                <w:color w:val="auto"/>
              </w:rPr>
            </w:pPr>
            <w:r>
              <w:rPr>
                <w:rFonts w:ascii="Arial" w:cs="Arial" w:eastAsia="Arial" w:hAnsi="Arial"/>
                <w:sz w:val="11"/>
                <w:szCs w:val="11"/>
                <w:b w:val="1"/>
                <w:bCs w:val="1"/>
                <w:color w:val="auto"/>
                <w:w w:val="96"/>
              </w:rPr>
              <w:t>Unobservable</w:t>
            </w:r>
          </w:p>
        </w:tc>
        <w:tc>
          <w:tcPr>
            <w:tcW w:w="0" w:type="dxa"/>
            <w:vAlign w:val="bottom"/>
          </w:tcPr>
          <w:p>
            <w:pPr>
              <w:spacing w:after="0"/>
              <w:rPr>
                <w:sz w:val="1"/>
                <w:szCs w:val="1"/>
                <w:color w:val="auto"/>
              </w:rPr>
            </w:pPr>
          </w:p>
        </w:tc>
      </w:tr>
      <w:tr>
        <w:trPr>
          <w:trHeight w:val="108"/>
        </w:trPr>
        <w:tc>
          <w:tcPr>
            <w:tcW w:w="4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September 30, 2026</w:t>
            </w:r>
          </w:p>
        </w:tc>
        <w:tc>
          <w:tcPr>
            <w:tcW w:w="300" w:type="dxa"/>
            <w:vAlign w:val="bottom"/>
          </w:tcPr>
          <w:p>
            <w:pPr>
              <w:spacing w:after="0"/>
              <w:rPr>
                <w:sz w:val="9"/>
                <w:szCs w:val="9"/>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Fair Value</w:t>
            </w:r>
          </w:p>
        </w:tc>
        <w:tc>
          <w:tcPr>
            <w:tcW w:w="15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8"/>
              </w:rPr>
              <w:t>Markets for Identical Assets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7"/>
              </w:rPr>
              <w:t>Observable Inputs</w:t>
            </w:r>
          </w:p>
        </w:tc>
        <w:tc>
          <w:tcPr>
            <w:tcW w:w="240" w:type="dxa"/>
            <w:vAlign w:val="bottom"/>
          </w:tcPr>
          <w:p>
            <w:pPr>
              <w:spacing w:after="0"/>
              <w:rPr>
                <w:sz w:val="9"/>
                <w:szCs w:val="9"/>
                <w:color w:val="auto"/>
              </w:rPr>
            </w:pPr>
          </w:p>
        </w:tc>
        <w:tc>
          <w:tcPr>
            <w:tcW w:w="1300" w:type="dxa"/>
            <w:vAlign w:val="bottom"/>
          </w:tcPr>
          <w:p>
            <w:pPr>
              <w:jc w:val="center"/>
              <w:ind w:right="186"/>
              <w:spacing w:after="0" w:line="108"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(Level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(Level 2)</w:t>
            </w:r>
          </w:p>
        </w:tc>
        <w:tc>
          <w:tcPr>
            <w:tcW w:w="240" w:type="dxa"/>
            <w:vAlign w:val="bottom"/>
          </w:tcPr>
          <w:p>
            <w:pPr>
              <w:spacing w:after="0"/>
              <w:rPr>
                <w:sz w:val="13"/>
                <w:szCs w:val="13"/>
                <w:color w:val="auto"/>
              </w:rPr>
            </w:pPr>
          </w:p>
        </w:tc>
        <w:tc>
          <w:tcPr>
            <w:tcW w:w="1300" w:type="dxa"/>
            <w:vAlign w:val="bottom"/>
          </w:tcPr>
          <w:p>
            <w:pPr>
              <w:jc w:val="center"/>
              <w:ind w:right="186"/>
              <w:spacing w:after="0"/>
              <w:rPr>
                <w:sz w:val="20"/>
                <w:szCs w:val="20"/>
                <w:color w:val="auto"/>
              </w:rPr>
            </w:pPr>
            <w:r>
              <w:rPr>
                <w:rFonts w:ascii="Arial" w:cs="Arial" w:eastAsia="Arial" w:hAnsi="Arial"/>
                <w:sz w:val="11"/>
                <w:szCs w:val="11"/>
                <w:b w:val="1"/>
                <w:bCs w:val="1"/>
                <w:color w:val="auto"/>
                <w:w w:val="94"/>
              </w:rPr>
              <w:t>(Level 3)</w:t>
            </w:r>
          </w:p>
        </w:tc>
        <w:tc>
          <w:tcPr>
            <w:tcW w:w="0" w:type="dxa"/>
            <w:vAlign w:val="bottom"/>
          </w:tcPr>
          <w:p>
            <w:pPr>
              <w:spacing w:after="0"/>
              <w:rPr>
                <w:sz w:val="1"/>
                <w:szCs w:val="1"/>
                <w:color w:val="auto"/>
              </w:rPr>
            </w:pPr>
          </w:p>
        </w:tc>
      </w:tr>
      <w:tr>
        <w:trPr>
          <w:trHeight w:val="128"/>
        </w:trPr>
        <w:tc>
          <w:tcPr>
            <w:tcW w:w="4820" w:type="dxa"/>
            <w:vAlign w:val="bottom"/>
          </w:tcPr>
          <w:p>
            <w:pPr>
              <w:ind w:left="20"/>
              <w:spacing w:after="0"/>
              <w:rPr>
                <w:sz w:val="20"/>
                <w:szCs w:val="20"/>
                <w:color w:val="auto"/>
              </w:rPr>
            </w:pPr>
            <w:r>
              <w:rPr>
                <w:rFonts w:ascii="Arial" w:cs="Arial" w:eastAsia="Arial" w:hAnsi="Arial"/>
                <w:sz w:val="11"/>
                <w:szCs w:val="11"/>
                <w:color w:val="auto"/>
              </w:rPr>
              <w:t>Available for sale securities:</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U.S. Government-sponsored agency securities</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67,196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67,196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820" w:type="dxa"/>
            <w:vAlign w:val="bottom"/>
          </w:tcPr>
          <w:p>
            <w:pPr>
              <w:ind w:left="360"/>
              <w:spacing w:after="0"/>
              <w:rPr>
                <w:sz w:val="20"/>
                <w:szCs w:val="20"/>
                <w:color w:val="auto"/>
              </w:rPr>
            </w:pPr>
            <w:r>
              <w:rPr>
                <w:rFonts w:ascii="Arial" w:cs="Arial" w:eastAsia="Arial" w:hAnsi="Arial"/>
                <w:sz w:val="11"/>
                <w:szCs w:val="11"/>
                <w:color w:val="auto"/>
              </w:rPr>
              <w:t>State and municipal</w:t>
            </w:r>
          </w:p>
        </w:tc>
        <w:tc>
          <w:tcPr>
            <w:tcW w:w="3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789,942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ind w:left="1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787,883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2,059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U.S. Government-sponsored mortgage-backed securities</w:t>
            </w:r>
          </w:p>
        </w:tc>
        <w:tc>
          <w:tcPr>
            <w:tcW w:w="3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386,039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386,039</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820" w:type="dxa"/>
            <w:vAlign w:val="bottom"/>
          </w:tcPr>
          <w:p>
            <w:pPr>
              <w:ind w:left="360"/>
              <w:spacing w:after="0"/>
              <w:rPr>
                <w:sz w:val="20"/>
                <w:szCs w:val="20"/>
                <w:color w:val="auto"/>
              </w:rPr>
            </w:pPr>
            <w:r>
              <w:rPr>
                <w:rFonts w:ascii="Arial" w:cs="Arial" w:eastAsia="Arial" w:hAnsi="Arial"/>
                <w:sz w:val="11"/>
                <w:szCs w:val="11"/>
                <w:color w:val="auto"/>
              </w:rPr>
              <w:t>Foreign investment</w:t>
            </w:r>
          </w:p>
        </w:tc>
        <w:tc>
          <w:tcPr>
            <w:tcW w:w="3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1,491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ind w:left="1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1,491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Corporate obligations</w:t>
            </w:r>
          </w:p>
        </w:tc>
        <w:tc>
          <w:tcPr>
            <w:tcW w:w="3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6,872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6,841</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2"/>
        </w:trPr>
        <w:tc>
          <w:tcPr>
            <w:tcW w:w="4820" w:type="dxa"/>
            <w:vAlign w:val="bottom"/>
          </w:tcPr>
          <w:p>
            <w:pPr>
              <w:ind w:left="20"/>
              <w:spacing w:after="0"/>
              <w:rPr>
                <w:sz w:val="20"/>
                <w:szCs w:val="20"/>
                <w:color w:val="auto"/>
              </w:rPr>
            </w:pPr>
            <w:r>
              <w:rPr>
                <w:rFonts w:ascii="Arial" w:cs="Arial" w:eastAsia="Arial" w:hAnsi="Arial"/>
                <w:sz w:val="11"/>
                <w:szCs w:val="11"/>
                <w:color w:val="auto"/>
              </w:rPr>
              <w:t>Derivative assets</w:t>
            </w:r>
          </w:p>
        </w:tc>
        <w:tc>
          <w:tcPr>
            <w:tcW w:w="30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76,495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ind w:left="1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76,495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liabilities</w:t>
            </w:r>
          </w:p>
        </w:tc>
        <w:tc>
          <w:tcPr>
            <w:tcW w:w="3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76,204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76,204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9"/>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Fair Value Measurements Using:</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Quoted Prices in</w:t>
            </w:r>
          </w:p>
        </w:tc>
        <w:tc>
          <w:tcPr>
            <w:tcW w:w="100" w:type="dxa"/>
            <w:vAlign w:val="bottom"/>
          </w:tcPr>
          <w:p>
            <w:pPr>
              <w:spacing w:after="0"/>
              <w:rPr>
                <w:sz w:val="10"/>
                <w:szCs w:val="10"/>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Significant Other Observable</w:t>
            </w:r>
          </w:p>
        </w:tc>
        <w:tc>
          <w:tcPr>
            <w:tcW w:w="240" w:type="dxa"/>
            <w:vAlign w:val="bottom"/>
          </w:tcPr>
          <w:p>
            <w:pPr>
              <w:spacing w:after="0"/>
              <w:rPr>
                <w:sz w:val="10"/>
                <w:szCs w:val="10"/>
                <w:color w:val="auto"/>
              </w:rPr>
            </w:pPr>
          </w:p>
        </w:tc>
        <w:tc>
          <w:tcPr>
            <w:tcW w:w="130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auto"/>
                <w:w w:val="95"/>
              </w:rPr>
              <w:t>Significant</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8"/>
              </w:rPr>
              <w:t>Active Markets for</w:t>
            </w:r>
          </w:p>
        </w:tc>
        <w:tc>
          <w:tcPr>
            <w:tcW w:w="10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jc w:val="center"/>
              <w:ind w:right="186"/>
              <w:spacing w:after="0" w:line="108" w:lineRule="exact"/>
              <w:rPr>
                <w:sz w:val="20"/>
                <w:szCs w:val="20"/>
                <w:color w:val="auto"/>
              </w:rPr>
            </w:pPr>
            <w:r>
              <w:rPr>
                <w:rFonts w:ascii="Arial" w:cs="Arial" w:eastAsia="Arial" w:hAnsi="Arial"/>
                <w:sz w:val="11"/>
                <w:szCs w:val="11"/>
                <w:b w:val="1"/>
                <w:bCs w:val="1"/>
                <w:color w:val="auto"/>
                <w:w w:val="96"/>
              </w:rPr>
              <w:t>Unobservable</w:t>
            </w:r>
          </w:p>
        </w:tc>
        <w:tc>
          <w:tcPr>
            <w:tcW w:w="0" w:type="dxa"/>
            <w:vAlign w:val="bottom"/>
          </w:tcPr>
          <w:p>
            <w:pPr>
              <w:spacing w:after="0"/>
              <w:rPr>
                <w:sz w:val="1"/>
                <w:szCs w:val="1"/>
                <w:color w:val="auto"/>
              </w:rPr>
            </w:pPr>
          </w:p>
        </w:tc>
      </w:tr>
      <w:tr>
        <w:trPr>
          <w:trHeight w:val="108"/>
        </w:trPr>
        <w:tc>
          <w:tcPr>
            <w:tcW w:w="4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December 31, 2025</w:t>
            </w:r>
          </w:p>
        </w:tc>
        <w:tc>
          <w:tcPr>
            <w:tcW w:w="300" w:type="dxa"/>
            <w:vAlign w:val="bottom"/>
          </w:tcPr>
          <w:p>
            <w:pPr>
              <w:spacing w:after="0"/>
              <w:rPr>
                <w:sz w:val="9"/>
                <w:szCs w:val="9"/>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Fair Value</w:t>
            </w:r>
          </w:p>
        </w:tc>
        <w:tc>
          <w:tcPr>
            <w:tcW w:w="120" w:type="dxa"/>
            <w:vAlign w:val="bottom"/>
          </w:tcPr>
          <w:p>
            <w:pPr>
              <w:spacing w:after="0"/>
              <w:rPr>
                <w:sz w:val="9"/>
                <w:szCs w:val="9"/>
                <w:color w:val="auto"/>
              </w:rPr>
            </w:pPr>
          </w:p>
        </w:tc>
        <w:tc>
          <w:tcPr>
            <w:tcW w:w="140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7"/>
              </w:rPr>
              <w:t>Identical Assets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rPr>
              <w:t>Inputs</w:t>
            </w:r>
          </w:p>
        </w:tc>
        <w:tc>
          <w:tcPr>
            <w:tcW w:w="240" w:type="dxa"/>
            <w:vAlign w:val="bottom"/>
          </w:tcPr>
          <w:p>
            <w:pPr>
              <w:spacing w:after="0"/>
              <w:rPr>
                <w:sz w:val="9"/>
                <w:szCs w:val="9"/>
                <w:color w:val="auto"/>
              </w:rPr>
            </w:pPr>
          </w:p>
        </w:tc>
        <w:tc>
          <w:tcPr>
            <w:tcW w:w="1300" w:type="dxa"/>
            <w:vAlign w:val="bottom"/>
          </w:tcPr>
          <w:p>
            <w:pPr>
              <w:jc w:val="center"/>
              <w:ind w:right="186"/>
              <w:spacing w:after="0" w:line="108"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5"/>
        </w:trPr>
        <w:tc>
          <w:tcPr>
            <w:tcW w:w="48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(Level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(Level 2)</w:t>
            </w:r>
          </w:p>
        </w:tc>
        <w:tc>
          <w:tcPr>
            <w:tcW w:w="240" w:type="dxa"/>
            <w:vAlign w:val="bottom"/>
          </w:tcPr>
          <w:p>
            <w:pPr>
              <w:spacing w:after="0"/>
              <w:rPr>
                <w:sz w:val="13"/>
                <w:szCs w:val="13"/>
                <w:color w:val="auto"/>
              </w:rPr>
            </w:pPr>
          </w:p>
        </w:tc>
        <w:tc>
          <w:tcPr>
            <w:tcW w:w="1300" w:type="dxa"/>
            <w:vAlign w:val="bottom"/>
          </w:tcPr>
          <w:p>
            <w:pPr>
              <w:jc w:val="center"/>
              <w:ind w:right="186"/>
              <w:spacing w:after="0"/>
              <w:rPr>
                <w:sz w:val="20"/>
                <w:szCs w:val="20"/>
                <w:color w:val="auto"/>
              </w:rPr>
            </w:pPr>
            <w:r>
              <w:rPr>
                <w:rFonts w:ascii="Arial" w:cs="Arial" w:eastAsia="Arial" w:hAnsi="Arial"/>
                <w:sz w:val="11"/>
                <w:szCs w:val="11"/>
                <w:b w:val="1"/>
                <w:bCs w:val="1"/>
                <w:color w:val="auto"/>
                <w:w w:val="94"/>
              </w:rPr>
              <w:t>(Level 3)</w:t>
            </w:r>
          </w:p>
        </w:tc>
        <w:tc>
          <w:tcPr>
            <w:tcW w:w="0" w:type="dxa"/>
            <w:vAlign w:val="bottom"/>
          </w:tcPr>
          <w:p>
            <w:pPr>
              <w:spacing w:after="0"/>
              <w:rPr>
                <w:sz w:val="1"/>
                <w:szCs w:val="1"/>
                <w:color w:val="auto"/>
              </w:rPr>
            </w:pPr>
          </w:p>
        </w:tc>
      </w:tr>
      <w:tr>
        <w:trPr>
          <w:trHeight w:val="129"/>
        </w:trPr>
        <w:tc>
          <w:tcPr>
            <w:tcW w:w="4820" w:type="dxa"/>
            <w:vAlign w:val="bottom"/>
          </w:tcPr>
          <w:p>
            <w:pPr>
              <w:ind w:left="20"/>
              <w:spacing w:after="0"/>
              <w:rPr>
                <w:sz w:val="20"/>
                <w:szCs w:val="20"/>
                <w:color w:val="auto"/>
              </w:rPr>
            </w:pPr>
            <w:r>
              <w:rPr>
                <w:rFonts w:ascii="Arial" w:cs="Arial" w:eastAsia="Arial" w:hAnsi="Arial"/>
                <w:sz w:val="11"/>
                <w:szCs w:val="11"/>
                <w:color w:val="auto"/>
              </w:rPr>
              <w:t>Available for sale securities:</w:t>
            </w: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U.S. Government-sponsored agency securities</w:t>
            </w: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76,099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76,099</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4820" w:type="dxa"/>
            <w:vAlign w:val="bottom"/>
          </w:tcPr>
          <w:p>
            <w:pPr>
              <w:ind w:left="360"/>
              <w:spacing w:after="0"/>
              <w:rPr>
                <w:sz w:val="20"/>
                <w:szCs w:val="20"/>
                <w:color w:val="auto"/>
              </w:rPr>
            </w:pPr>
            <w:r>
              <w:rPr>
                <w:rFonts w:ascii="Arial" w:cs="Arial" w:eastAsia="Arial" w:hAnsi="Arial"/>
                <w:sz w:val="11"/>
                <w:szCs w:val="11"/>
                <w:color w:val="auto"/>
              </w:rPr>
              <w:t>State and municipal</w:t>
            </w:r>
          </w:p>
        </w:tc>
        <w:tc>
          <w:tcPr>
            <w:tcW w:w="30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902,294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ind w:left="1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900,339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1,955</w:t>
            </w:r>
          </w:p>
        </w:tc>
        <w:tc>
          <w:tcPr>
            <w:tcW w:w="0" w:type="dxa"/>
            <w:vAlign w:val="bottom"/>
          </w:tcPr>
          <w:p>
            <w:pPr>
              <w:spacing w:after="0"/>
              <w:rPr>
                <w:sz w:val="1"/>
                <w:szCs w:val="1"/>
                <w:color w:val="auto"/>
              </w:rPr>
            </w:pPr>
          </w:p>
        </w:tc>
      </w:tr>
      <w:tr>
        <w:trPr>
          <w:trHeight w:val="152"/>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U.S. Government-sponsored mortgage-backed securities</w:t>
            </w:r>
          </w:p>
        </w:tc>
        <w:tc>
          <w:tcPr>
            <w:tcW w:w="3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419,510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419,510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4820" w:type="dxa"/>
            <w:vAlign w:val="bottom"/>
          </w:tcPr>
          <w:p>
            <w:pPr>
              <w:ind w:left="360"/>
              <w:spacing w:after="0"/>
              <w:rPr>
                <w:sz w:val="20"/>
                <w:szCs w:val="20"/>
                <w:color w:val="auto"/>
              </w:rPr>
            </w:pPr>
            <w:r>
              <w:rPr>
                <w:rFonts w:ascii="Arial" w:cs="Arial" w:eastAsia="Arial" w:hAnsi="Arial"/>
                <w:sz w:val="11"/>
                <w:szCs w:val="11"/>
                <w:color w:val="auto"/>
              </w:rPr>
              <w:t>Foreign investment</w:t>
            </w:r>
          </w:p>
        </w:tc>
        <w:tc>
          <w:tcPr>
            <w:tcW w:w="30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ind w:left="1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1,500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Corporate obligations</w:t>
            </w:r>
          </w:p>
        </w:tc>
        <w:tc>
          <w:tcPr>
            <w:tcW w:w="3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7,699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7,668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2"/>
        </w:trPr>
        <w:tc>
          <w:tcPr>
            <w:tcW w:w="4820" w:type="dxa"/>
            <w:vAlign w:val="bottom"/>
          </w:tcPr>
          <w:p>
            <w:pPr>
              <w:ind w:left="20"/>
              <w:spacing w:after="0"/>
              <w:rPr>
                <w:sz w:val="20"/>
                <w:szCs w:val="20"/>
                <w:color w:val="auto"/>
              </w:rPr>
            </w:pPr>
            <w:r>
              <w:rPr>
                <w:rFonts w:ascii="Arial" w:cs="Arial" w:eastAsia="Arial" w:hAnsi="Arial"/>
                <w:sz w:val="11"/>
                <w:szCs w:val="11"/>
                <w:color w:val="auto"/>
              </w:rPr>
              <w:t>Derivative assets</w:t>
            </w:r>
          </w:p>
        </w:tc>
        <w:tc>
          <w:tcPr>
            <w:tcW w:w="30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48,468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ind w:left="1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48,468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Derivative liabilities</w:t>
            </w: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47,980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47,980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3 Reconciliation</w:t>
      </w:r>
    </w:p>
    <w:p>
      <w:pPr>
        <w:spacing w:after="0" w:line="258" w:lineRule="exact"/>
        <w:rPr>
          <w:sz w:val="20"/>
          <w:szCs w:val="20"/>
          <w:color w:val="auto"/>
        </w:rPr>
      </w:pPr>
    </w:p>
    <w:p>
      <w:pPr>
        <w:ind w:right="2320"/>
        <w:spacing w:after="0" w:line="285" w:lineRule="auto"/>
        <w:rPr>
          <w:sz w:val="20"/>
          <w:szCs w:val="20"/>
          <w:color w:val="auto"/>
        </w:rPr>
      </w:pPr>
      <w:r>
        <w:rPr>
          <w:rFonts w:ascii="Arial" w:cs="Arial" w:eastAsia="Arial" w:hAnsi="Arial"/>
          <w:sz w:val="14"/>
          <w:szCs w:val="14"/>
          <w:color w:val="auto"/>
        </w:rPr>
        <w:t>The following is a reconciliation of the beginning and ending balances of recurring fair value measurements recognized in the accompanying balance sheets using significant unobservable Level 3 inputs for the three and nine months ended September 30, 2026 and 2025.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5"/>
          </w:tcPr>
          <w:p>
            <w:pPr>
              <w:ind w:left="700"/>
              <w:spacing w:after="0"/>
              <w:rPr>
                <w:sz w:val="20"/>
                <w:szCs w:val="20"/>
                <w:color w:val="auto"/>
              </w:rPr>
            </w:pPr>
            <w:r>
              <w:rPr>
                <w:rFonts w:ascii="Arial" w:cs="Arial" w:eastAsia="Arial" w:hAnsi="Arial"/>
                <w:sz w:val="11"/>
                <w:szCs w:val="11"/>
                <w:b w:val="1"/>
                <w:bCs w:val="1"/>
                <w:color w:val="auto"/>
              </w:rPr>
              <w:t>Available for Sale Securities</w:t>
            </w: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5"/>
        </w:trPr>
        <w:tc>
          <w:tcPr>
            <w:tcW w:w="4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986"/>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4"/>
          </w:tcPr>
          <w:p>
            <w:pPr>
              <w:jc w:val="right"/>
              <w:ind w:right="1026"/>
              <w:spacing w:after="0"/>
              <w:rPr>
                <w:sz w:val="20"/>
                <w:szCs w:val="20"/>
                <w:color w:val="auto"/>
              </w:rPr>
            </w:pPr>
            <w:r>
              <w:rPr>
                <w:rFonts w:ascii="Arial" w:cs="Arial" w:eastAsia="Arial" w:hAnsi="Arial"/>
                <w:sz w:val="11"/>
                <w:szCs w:val="11"/>
                <w:b w:val="1"/>
                <w:bCs w:val="1"/>
                <w:color w:val="auto"/>
              </w:rPr>
              <w:t>Nine Months Ended</w:t>
            </w:r>
          </w:p>
        </w:tc>
      </w:tr>
      <w:tr>
        <w:trPr>
          <w:trHeight w:val="156"/>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 2026</w:t>
            </w:r>
          </w:p>
        </w:tc>
        <w:tc>
          <w:tcPr>
            <w:tcW w:w="18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 2025</w:t>
            </w:r>
          </w:p>
        </w:tc>
        <w:tc>
          <w:tcPr>
            <w:tcW w:w="18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 2026</w:t>
            </w:r>
          </w:p>
        </w:tc>
        <w:tc>
          <w:tcPr>
            <w:tcW w:w="180" w:type="dxa"/>
            <w:vAlign w:val="bottom"/>
          </w:tcPr>
          <w:p>
            <w:pPr>
              <w:spacing w:after="0"/>
              <w:rPr>
                <w:sz w:val="13"/>
                <w:szCs w:val="13"/>
                <w:color w:val="auto"/>
              </w:rPr>
            </w:pPr>
          </w:p>
        </w:tc>
        <w:tc>
          <w:tcPr>
            <w:tcW w:w="1360" w:type="dxa"/>
            <w:vAlign w:val="bottom"/>
          </w:tcPr>
          <w:p>
            <w:pPr>
              <w:jc w:val="right"/>
              <w:ind w:right="206"/>
              <w:spacing w:after="0"/>
              <w:rPr>
                <w:sz w:val="20"/>
                <w:szCs w:val="20"/>
                <w:color w:val="auto"/>
              </w:rPr>
            </w:pPr>
            <w:r>
              <w:rPr>
                <w:rFonts w:ascii="Arial" w:cs="Arial" w:eastAsia="Arial" w:hAnsi="Arial"/>
                <w:sz w:val="11"/>
                <w:szCs w:val="11"/>
                <w:b w:val="1"/>
                <w:bCs w:val="1"/>
                <w:color w:val="auto"/>
              </w:rPr>
              <w:t>September 30, 2025</w:t>
            </w:r>
          </w:p>
        </w:tc>
      </w:tr>
      <w:tr>
        <w:trPr>
          <w:trHeight w:val="162"/>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beginning of period</w:t>
            </w: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2,452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2,196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1,986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2,416</w:t>
            </w:r>
          </w:p>
        </w:tc>
      </w:tr>
      <w:tr>
        <w:trPr>
          <w:trHeight w:val="152"/>
        </w:trPr>
        <w:tc>
          <w:tcPr>
            <w:tcW w:w="4820" w:type="dxa"/>
            <w:vAlign w:val="bottom"/>
          </w:tcPr>
          <w:p>
            <w:pPr>
              <w:ind w:left="20"/>
              <w:spacing w:after="0"/>
              <w:rPr>
                <w:sz w:val="20"/>
                <w:szCs w:val="20"/>
                <w:color w:val="auto"/>
              </w:rPr>
            </w:pPr>
            <w:r>
              <w:rPr>
                <w:rFonts w:ascii="Arial" w:cs="Arial" w:eastAsia="Arial" w:hAnsi="Arial"/>
                <w:sz w:val="11"/>
                <w:szCs w:val="11"/>
                <w:color w:val="auto"/>
              </w:rPr>
              <w:t>Assets acquired in a business combination</w:t>
            </w:r>
          </w:p>
        </w:tc>
        <w:tc>
          <w:tcPr>
            <w:tcW w:w="18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660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5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Included in other comprehensive income (loss)</w:t>
            </w:r>
          </w:p>
        </w:tc>
        <w:tc>
          <w:tcPr>
            <w:tcW w:w="18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r>
      <w:tr>
        <w:trPr>
          <w:trHeight w:val="15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Principal payments</w:t>
            </w: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(460)</w:t>
            </w:r>
          </w:p>
        </w:tc>
      </w:tr>
      <w:tr>
        <w:trPr>
          <w:trHeight w:val="18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end of period</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1,994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1,994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2500"/>
        <w:spacing w:after="0" w:line="285" w:lineRule="auto"/>
        <w:rPr>
          <w:sz w:val="20"/>
          <w:szCs w:val="20"/>
          <w:color w:val="auto"/>
        </w:rPr>
      </w:pPr>
      <w:r>
        <w:rPr>
          <w:rFonts w:ascii="Arial" w:cs="Arial" w:eastAsia="Arial" w:hAnsi="Arial"/>
          <w:sz w:val="14"/>
          <w:szCs w:val="14"/>
          <w:color w:val="auto"/>
        </w:rPr>
        <w:t>There were no gains or losses included in earnings that were attributable to the changes in unrealized gains or losses related to assets or liabilities held at September 30, 2026 or September 30, 2025.</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Transfers Between Levels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in or out of Level 3 during the three and nine months ended September 30, 2026 and 2025.</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Nonrecurring Measurements</w:t>
      </w:r>
    </w:p>
    <w:p>
      <w:pPr>
        <w:spacing w:after="0" w:line="258"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auto"/>
        </w:rPr>
        <w:t>Following is a description of valuation methodologies used for instruments measured at fair value on a nonrecurring basis and recognized in the accompanying balance sheets, as well as the general classification of such instruments pursuant to the valuation hierarchy at September 30, 2026, and December 31,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Fair Value Measurements Using:</w:t>
            </w: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auto"/>
                <w:w w:val="98"/>
              </w:rPr>
              <w:t>Quoted Prices in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9"/>
              </w:rPr>
              <w:t>Significant Other</w:t>
            </w:r>
          </w:p>
        </w:tc>
        <w:tc>
          <w:tcPr>
            <w:tcW w:w="100" w:type="dxa"/>
            <w:vAlign w:val="bottom"/>
          </w:tcPr>
          <w:p>
            <w:pPr>
              <w:spacing w:after="0"/>
              <w:rPr>
                <w:sz w:val="10"/>
                <w:szCs w:val="10"/>
                <w:color w:val="auto"/>
              </w:rPr>
            </w:pPr>
          </w:p>
        </w:tc>
        <w:tc>
          <w:tcPr>
            <w:tcW w:w="14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8"/>
              </w:rPr>
              <w:t>Significant Unobservable</w:t>
            </w: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ind w:left="166"/>
              <w:spacing w:after="0" w:line="108" w:lineRule="exact"/>
              <w:rPr>
                <w:sz w:val="20"/>
                <w:szCs w:val="20"/>
                <w:color w:val="auto"/>
              </w:rPr>
            </w:pPr>
            <w:r>
              <w:rPr>
                <w:rFonts w:ascii="Arial" w:cs="Arial" w:eastAsia="Arial" w:hAnsi="Arial"/>
                <w:sz w:val="11"/>
                <w:szCs w:val="11"/>
                <w:b w:val="1"/>
                <w:bCs w:val="1"/>
                <w:color w:val="auto"/>
                <w:w w:val="98"/>
              </w:rPr>
              <w:t>Active Markets for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rPr>
              <w:t>Observable</w:t>
            </w: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September 30, 2026</w:t>
            </w:r>
          </w:p>
        </w:tc>
        <w:tc>
          <w:tcPr>
            <w:tcW w:w="100" w:type="dxa"/>
            <w:vAlign w:val="bottom"/>
            <w:vMerge w:val="restart"/>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Fair Value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ind w:left="166"/>
              <w:spacing w:after="0" w:line="108" w:lineRule="exact"/>
              <w:rPr>
                <w:sz w:val="20"/>
                <w:szCs w:val="20"/>
                <w:color w:val="auto"/>
              </w:rPr>
            </w:pPr>
            <w:r>
              <w:rPr>
                <w:rFonts w:ascii="Arial" w:cs="Arial" w:eastAsia="Arial" w:hAnsi="Arial"/>
                <w:sz w:val="11"/>
                <w:szCs w:val="11"/>
                <w:b w:val="1"/>
                <w:bCs w:val="1"/>
                <w:color w:val="auto"/>
                <w:w w:val="97"/>
              </w:rPr>
              <w:t>Identical Assets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6"/>
              </w:rPr>
              <w:t>Inputs</w:t>
            </w:r>
          </w:p>
        </w:tc>
        <w:tc>
          <w:tcPr>
            <w:tcW w:w="100" w:type="dxa"/>
            <w:vAlign w:val="bottom"/>
          </w:tcPr>
          <w:p>
            <w:pPr>
              <w:spacing w:after="0"/>
              <w:rPr>
                <w:sz w:val="9"/>
                <w:szCs w:val="9"/>
                <w:color w:val="auto"/>
              </w:rPr>
            </w:pPr>
          </w:p>
        </w:tc>
        <w:tc>
          <w:tcPr>
            <w:tcW w:w="144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8"/>
              </w:rPr>
              <w:t>(Level 1)</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98"/>
              </w:rPr>
              <w:t>(Level 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4"/>
              </w:rPr>
              <w:t>(Level 3)</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Collateral dependent loans</w:t>
            </w:r>
          </w:p>
        </w:tc>
        <w:tc>
          <w:tcPr>
            <w:tcW w:w="1060" w:type="dxa"/>
            <w:vAlign w:val="bottom"/>
            <w:tcBorders>
              <w:bottom w:val="single" w:sz="8" w:color="CCEEFF"/>
            </w:tcBorders>
            <w:shd w:val="clear" w:color="auto" w:fill="CCEEFF"/>
          </w:tcPr>
          <w:p>
            <w:pPr>
              <w:jc w:val="right"/>
              <w:ind w:right="92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56,828</w:t>
            </w:r>
          </w:p>
        </w:tc>
        <w:tc>
          <w:tcPr>
            <w:tcW w:w="1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1146"/>
              <w:spacing w:after="0"/>
              <w:rPr>
                <w:sz w:val="20"/>
                <w:szCs w:val="20"/>
                <w:color w:val="auto"/>
              </w:rPr>
            </w:pPr>
            <w:r>
              <w:rPr>
                <w:rFonts w:ascii="Arial" w:cs="Arial" w:eastAsia="Arial" w:hAnsi="Arial"/>
                <w:sz w:val="11"/>
                <w:szCs w:val="11"/>
                <w:color w:val="auto"/>
                <w:w w:val="97"/>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56,828</w:t>
            </w:r>
          </w:p>
        </w:tc>
        <w:tc>
          <w:tcPr>
            <w:tcW w:w="0" w:type="dxa"/>
            <w:vAlign w:val="bottom"/>
          </w:tcPr>
          <w:p>
            <w:pPr>
              <w:spacing w:after="0"/>
              <w:rPr>
                <w:sz w:val="1"/>
                <w:szCs w:val="1"/>
                <w:color w:val="auto"/>
              </w:rPr>
            </w:pPr>
          </w:p>
        </w:tc>
      </w:tr>
      <w:tr>
        <w:trPr>
          <w:trHeight w:val="755"/>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Fair Value Measurements Using:</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auto"/>
                <w:w w:val="98"/>
              </w:rPr>
              <w:t>Quoted Prices in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9"/>
              </w:rPr>
              <w:t>Significant Other</w:t>
            </w:r>
          </w:p>
        </w:tc>
        <w:tc>
          <w:tcPr>
            <w:tcW w:w="100" w:type="dxa"/>
            <w:vAlign w:val="bottom"/>
          </w:tcPr>
          <w:p>
            <w:pPr>
              <w:spacing w:after="0"/>
              <w:rPr>
                <w:sz w:val="10"/>
                <w:szCs w:val="10"/>
                <w:color w:val="auto"/>
              </w:rPr>
            </w:pPr>
          </w:p>
        </w:tc>
        <w:tc>
          <w:tcPr>
            <w:tcW w:w="14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8"/>
              </w:rPr>
              <w:t>Significant Unobservable</w:t>
            </w: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ind w:left="166"/>
              <w:spacing w:after="0" w:line="108" w:lineRule="exact"/>
              <w:rPr>
                <w:sz w:val="20"/>
                <w:szCs w:val="20"/>
                <w:color w:val="auto"/>
              </w:rPr>
            </w:pPr>
            <w:r>
              <w:rPr>
                <w:rFonts w:ascii="Arial" w:cs="Arial" w:eastAsia="Arial" w:hAnsi="Arial"/>
                <w:sz w:val="11"/>
                <w:szCs w:val="11"/>
                <w:b w:val="1"/>
                <w:bCs w:val="1"/>
                <w:color w:val="auto"/>
                <w:w w:val="98"/>
              </w:rPr>
              <w:t>Active Markets for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rPr>
              <w:t>Observable</w:t>
            </w: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December 31, 2025</w:t>
            </w:r>
          </w:p>
        </w:tc>
        <w:tc>
          <w:tcPr>
            <w:tcW w:w="100" w:type="dxa"/>
            <w:vAlign w:val="bottom"/>
            <w:vMerge w:val="restart"/>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Fair Value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ind w:left="166"/>
              <w:spacing w:after="0" w:line="108" w:lineRule="exact"/>
              <w:rPr>
                <w:sz w:val="20"/>
                <w:szCs w:val="20"/>
                <w:color w:val="auto"/>
              </w:rPr>
            </w:pPr>
            <w:r>
              <w:rPr>
                <w:rFonts w:ascii="Arial" w:cs="Arial" w:eastAsia="Arial" w:hAnsi="Arial"/>
                <w:sz w:val="11"/>
                <w:szCs w:val="11"/>
                <w:b w:val="1"/>
                <w:bCs w:val="1"/>
                <w:color w:val="auto"/>
                <w:w w:val="97"/>
              </w:rPr>
              <w:t>Identical Assets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6"/>
              </w:rPr>
              <w:t>Inputs</w:t>
            </w:r>
          </w:p>
        </w:tc>
        <w:tc>
          <w:tcPr>
            <w:tcW w:w="100" w:type="dxa"/>
            <w:vAlign w:val="bottom"/>
          </w:tcPr>
          <w:p>
            <w:pPr>
              <w:spacing w:after="0"/>
              <w:rPr>
                <w:sz w:val="9"/>
                <w:szCs w:val="9"/>
                <w:color w:val="auto"/>
              </w:rPr>
            </w:pPr>
          </w:p>
        </w:tc>
        <w:tc>
          <w:tcPr>
            <w:tcW w:w="144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8"/>
              </w:rPr>
              <w:t>(Level 1)</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98"/>
              </w:rPr>
              <w:t>(Level 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4"/>
              </w:rPr>
              <w:t>(Level 3)</w:t>
            </w:r>
          </w:p>
        </w:tc>
        <w:tc>
          <w:tcPr>
            <w:tcW w:w="0" w:type="dxa"/>
            <w:vAlign w:val="bottom"/>
          </w:tcPr>
          <w:p>
            <w:pPr>
              <w:spacing w:after="0"/>
              <w:rPr>
                <w:sz w:val="1"/>
                <w:szCs w:val="1"/>
                <w:color w:val="auto"/>
              </w:rPr>
            </w:pPr>
          </w:p>
        </w:tc>
      </w:tr>
      <w:tr>
        <w:trPr>
          <w:trHeight w:val="142"/>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Collateral dependent loans</w:t>
            </w:r>
          </w:p>
        </w:tc>
        <w:tc>
          <w:tcPr>
            <w:tcW w:w="1060" w:type="dxa"/>
            <w:vAlign w:val="bottom"/>
            <w:shd w:val="clear" w:color="auto" w:fill="CCEEFF"/>
          </w:tcPr>
          <w:p>
            <w:pPr>
              <w:jc w:val="right"/>
              <w:ind w:right="92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65,302</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1146"/>
              <w:spacing w:after="0"/>
              <w:rPr>
                <w:sz w:val="20"/>
                <w:szCs w:val="20"/>
                <w:color w:val="auto"/>
              </w:rPr>
            </w:pPr>
            <w:r>
              <w:rPr>
                <w:rFonts w:ascii="Arial" w:cs="Arial" w:eastAsia="Arial" w:hAnsi="Arial"/>
                <w:sz w:val="11"/>
                <w:szCs w:val="11"/>
                <w:color w:val="auto"/>
                <w:w w:val="97"/>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65,302</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Collateral Dependent Loans</w:t>
      </w:r>
    </w:p>
    <w:p>
      <w:pPr>
        <w:spacing w:after="0" w:line="256"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Determining fair value for collateral dependent loans requires obtaining a current independent appraisal of the collateral and applying a discount factor, which includes selling costs if applicable, to the value. The fair value of real estate is generally based on appraisals by qualified licensed appraisers. The appraisers typically determine the value of the real estate by utilizing an income or market valuation approach. If an appraisal is not available, the fair value may be determined by using a cash flow analysis. Fair value on other collateral such as business assets is typically ascertained by assessing, either singularly or some combination of, asset appraisals, accounts receivable aging reports, inventory listings and/or customer financial statements. Both appraised values and values based on borrower’s financial information are discounted as considered appropriate based on age and quality of the information and current market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Unobservable (Level 3) Inputs</w:t>
      </w:r>
    </w:p>
    <w:p>
      <w:pPr>
        <w:spacing w:after="0" w:line="258" w:lineRule="exact"/>
        <w:rPr>
          <w:sz w:val="20"/>
          <w:szCs w:val="20"/>
          <w:color w:val="auto"/>
        </w:rPr>
      </w:pPr>
    </w:p>
    <w:p>
      <w:pPr>
        <w:ind w:right="340"/>
        <w:spacing w:after="0" w:line="305" w:lineRule="auto"/>
        <w:rPr>
          <w:sz w:val="20"/>
          <w:szCs w:val="20"/>
          <w:color w:val="auto"/>
        </w:rPr>
      </w:pPr>
      <w:r>
        <w:rPr>
          <w:rFonts w:ascii="Arial" w:cs="Arial" w:eastAsia="Arial" w:hAnsi="Arial"/>
          <w:sz w:val="14"/>
          <w:szCs w:val="14"/>
          <w:color w:val="auto"/>
        </w:rPr>
        <w:t>The following tables present quantitative information about unobservable inputs used in recurring and nonrecurring Level 3 fair value measurements, other than goodwill, at September 30, 2026 and December 31,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2026</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Fair Value</w:t>
            </w:r>
          </w:p>
        </w:tc>
        <w:tc>
          <w:tcPr>
            <w:tcW w:w="12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Valuation Technique</w:t>
            </w:r>
          </w:p>
        </w:tc>
        <w:tc>
          <w:tcPr>
            <w:tcW w:w="100" w:type="dxa"/>
            <w:vAlign w:val="bottom"/>
            <w:tcBorders>
              <w:bottom w:val="single" w:sz="8" w:color="CCEEFF"/>
            </w:tcBorders>
          </w:tcPr>
          <w:p>
            <w:pPr>
              <w:spacing w:after="0"/>
              <w:rPr>
                <w:sz w:val="13"/>
                <w:szCs w:val="13"/>
                <w:color w:val="auto"/>
              </w:rPr>
            </w:pPr>
          </w:p>
        </w:tc>
        <w:tc>
          <w:tcPr>
            <w:tcW w:w="3160" w:type="dxa"/>
            <w:vAlign w:val="bottom"/>
            <w:tcBorders>
              <w:bottom w:val="single" w:sz="8" w:color="auto"/>
            </w:tcBorders>
          </w:tcPr>
          <w:p>
            <w:pPr>
              <w:jc w:val="right"/>
              <w:ind w:right="986"/>
              <w:spacing w:after="0"/>
              <w:rPr>
                <w:sz w:val="20"/>
                <w:szCs w:val="20"/>
                <w:color w:val="auto"/>
              </w:rPr>
            </w:pPr>
            <w:r>
              <w:rPr>
                <w:rFonts w:ascii="Arial" w:cs="Arial" w:eastAsia="Arial" w:hAnsi="Arial"/>
                <w:sz w:val="11"/>
                <w:szCs w:val="11"/>
                <w:b w:val="1"/>
                <w:bCs w:val="1"/>
                <w:color w:val="auto"/>
              </w:rPr>
              <w:t>Unobservable Inputs</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Range (Weighted-Average)</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State and municipal securities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2,059</w:t>
            </w:r>
          </w:p>
        </w:tc>
        <w:tc>
          <w:tcPr>
            <w:tcW w:w="1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8"/>
              </w:rPr>
              <w:t>Discounted cash flow</w:t>
            </w: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Maturity/Call date</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 month to 5 years</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US Muni BQ curve</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BBB</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Discount rate</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 - 6.0%</w:t>
            </w:r>
          </w:p>
        </w:tc>
        <w:tc>
          <w:tcPr>
            <w:tcW w:w="0" w:type="dxa"/>
            <w:vAlign w:val="bottom"/>
          </w:tcPr>
          <w:p>
            <w:pPr>
              <w:spacing w:after="0"/>
              <w:rPr>
                <w:sz w:val="1"/>
                <w:szCs w:val="1"/>
                <w:color w:val="auto"/>
              </w:rPr>
            </w:pPr>
          </w:p>
        </w:tc>
      </w:tr>
      <w:tr>
        <w:trPr>
          <w:trHeight w:val="182"/>
        </w:trPr>
        <w:tc>
          <w:tcPr>
            <w:tcW w:w="3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Weighted-average coupon</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4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Corporate obligations</w:t>
            </w:r>
          </w:p>
        </w:tc>
        <w:tc>
          <w:tcPr>
            <w:tcW w:w="16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120" w:type="dxa"/>
            <w:vAlign w:val="bottom"/>
            <w:shd w:val="clear" w:color="auto" w:fill="CCEEFF"/>
          </w:tcPr>
          <w:p>
            <w:pPr>
              <w:spacing w:after="0"/>
              <w:rPr>
                <w:sz w:val="9"/>
                <w:szCs w:val="9"/>
                <w:color w:val="auto"/>
              </w:rPr>
            </w:pPr>
          </w:p>
        </w:tc>
        <w:tc>
          <w:tcPr>
            <w:tcW w:w="19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1"/>
                <w:szCs w:val="11"/>
                <w:color w:val="auto"/>
                <w:w w:val="98"/>
              </w:rPr>
              <w:t>Discounted cash flow</w:t>
            </w:r>
          </w:p>
        </w:tc>
        <w:tc>
          <w:tcPr>
            <w:tcW w:w="3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Risk free rate</w:t>
            </w:r>
          </w:p>
        </w:tc>
        <w:tc>
          <w:tcPr>
            <w:tcW w:w="14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 month CME Term SOFR</w:t>
            </w:r>
          </w:p>
        </w:tc>
        <w:tc>
          <w:tcPr>
            <w:tcW w:w="0" w:type="dxa"/>
            <w:vAlign w:val="bottom"/>
          </w:tcPr>
          <w:p>
            <w:pPr>
              <w:spacing w:after="0"/>
              <w:rPr>
                <w:sz w:val="1"/>
                <w:szCs w:val="1"/>
                <w:color w:val="auto"/>
              </w:rPr>
            </w:pPr>
          </w:p>
        </w:tc>
      </w:tr>
      <w:tr>
        <w:trPr>
          <w:trHeight w:val="142"/>
        </w:trPr>
        <w:tc>
          <w:tcPr>
            <w:tcW w:w="346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00" w:type="dxa"/>
            <w:vAlign w:val="bottom"/>
            <w:gridSpan w:val="2"/>
            <w:vMerge w:val="continue"/>
            <w:shd w:val="clear" w:color="auto" w:fill="CCEEFF"/>
          </w:tcPr>
          <w:p>
            <w:pPr>
              <w:spacing w:after="0"/>
              <w:rPr>
                <w:sz w:val="12"/>
                <w:szCs w:val="12"/>
                <w:color w:val="auto"/>
              </w:rPr>
            </w:pPr>
          </w:p>
        </w:tc>
        <w:tc>
          <w:tcPr>
            <w:tcW w:w="3260" w:type="dxa"/>
            <w:vAlign w:val="bottom"/>
            <w:gridSpan w:val="2"/>
            <w:vMerge w:val="continue"/>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plus 26bps</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plus premium for illiquidity (basis points)</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plus 200bps</w:t>
            </w:r>
          </w:p>
        </w:tc>
        <w:tc>
          <w:tcPr>
            <w:tcW w:w="0" w:type="dxa"/>
            <w:vAlign w:val="bottom"/>
          </w:tcPr>
          <w:p>
            <w:pPr>
              <w:spacing w:after="0"/>
              <w:rPr>
                <w:sz w:val="1"/>
                <w:szCs w:val="1"/>
                <w:color w:val="auto"/>
              </w:rPr>
            </w:pPr>
          </w:p>
        </w:tc>
      </w:tr>
      <w:tr>
        <w:trPr>
          <w:trHeight w:val="162"/>
        </w:trPr>
        <w:tc>
          <w:tcPr>
            <w:tcW w:w="34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Weighted-average coupon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4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Collateral dependent loans</w:t>
            </w:r>
          </w:p>
        </w:tc>
        <w:tc>
          <w:tcPr>
            <w:tcW w:w="16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56,828</w:t>
            </w:r>
          </w:p>
        </w:tc>
        <w:tc>
          <w:tcPr>
            <w:tcW w:w="120" w:type="dxa"/>
            <w:vAlign w:val="bottom"/>
            <w:shd w:val="clear" w:color="auto" w:fill="CCEEFF"/>
          </w:tcPr>
          <w:p>
            <w:pPr>
              <w:spacing w:after="0"/>
              <w:rPr>
                <w:sz w:val="9"/>
                <w:szCs w:val="9"/>
                <w:color w:val="auto"/>
              </w:rPr>
            </w:pPr>
          </w:p>
        </w:tc>
        <w:tc>
          <w:tcPr>
            <w:tcW w:w="19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color w:val="auto"/>
                <w:w w:val="97"/>
              </w:rPr>
              <w:t>Collateral based measurements</w:t>
            </w:r>
          </w:p>
        </w:tc>
        <w:tc>
          <w:tcPr>
            <w:tcW w:w="3260" w:type="dxa"/>
            <w:vAlign w:val="bottom"/>
            <w:gridSpan w:val="2"/>
            <w:shd w:val="clear" w:color="auto" w:fill="CCEEFF"/>
          </w:tcPr>
          <w:p>
            <w:pPr>
              <w:jc w:val="right"/>
              <w:ind w:right="120"/>
              <w:spacing w:after="0" w:line="109" w:lineRule="exact"/>
              <w:rPr>
                <w:sz w:val="20"/>
                <w:szCs w:val="20"/>
                <w:color w:val="auto"/>
              </w:rPr>
            </w:pPr>
            <w:r>
              <w:rPr>
                <w:rFonts w:ascii="Arial" w:cs="Arial" w:eastAsia="Arial" w:hAnsi="Arial"/>
                <w:sz w:val="11"/>
                <w:szCs w:val="11"/>
                <w:color w:val="auto"/>
              </w:rPr>
              <w:t>Discount to reflect current market conditions and ultimate</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 - 95%</w:t>
            </w:r>
          </w:p>
        </w:tc>
        <w:tc>
          <w:tcPr>
            <w:tcW w:w="0" w:type="dxa"/>
            <w:vAlign w:val="bottom"/>
          </w:tcPr>
          <w:p>
            <w:pPr>
              <w:spacing w:after="0"/>
              <w:rPr>
                <w:sz w:val="1"/>
                <w:szCs w:val="1"/>
                <w:color w:val="auto"/>
              </w:rPr>
            </w:pPr>
          </w:p>
        </w:tc>
      </w:tr>
      <w:tr>
        <w:trPr>
          <w:trHeight w:val="142"/>
        </w:trPr>
        <w:tc>
          <w:tcPr>
            <w:tcW w:w="346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00" w:type="dxa"/>
            <w:vAlign w:val="bottom"/>
            <w:gridSpan w:val="2"/>
            <w:vMerge w:val="continue"/>
            <w:shd w:val="clear" w:color="auto" w:fill="CCEEFF"/>
          </w:tcPr>
          <w:p>
            <w:pPr>
              <w:spacing w:after="0"/>
              <w:rPr>
                <w:sz w:val="12"/>
                <w:szCs w:val="12"/>
                <w:color w:val="auto"/>
              </w:rPr>
            </w:pP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collectability</w:t>
            </w:r>
          </w:p>
        </w:tc>
        <w:tc>
          <w:tcPr>
            <w:tcW w:w="14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Weighted-average discount by loan balance</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December 31, 2025</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Fair Value</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Valuation Technique</w:t>
            </w:r>
          </w:p>
        </w:tc>
        <w:tc>
          <w:tcPr>
            <w:tcW w:w="100" w:type="dxa"/>
            <w:vAlign w:val="bottom"/>
            <w:tcBorders>
              <w:bottom w:val="single" w:sz="8" w:color="CCEEFF"/>
            </w:tcBorders>
          </w:tcPr>
          <w:p>
            <w:pPr>
              <w:spacing w:after="0"/>
              <w:rPr>
                <w:sz w:val="13"/>
                <w:szCs w:val="13"/>
                <w:color w:val="auto"/>
              </w:rPr>
            </w:pPr>
          </w:p>
        </w:tc>
        <w:tc>
          <w:tcPr>
            <w:tcW w:w="3140" w:type="dxa"/>
            <w:vAlign w:val="bottom"/>
            <w:tcBorders>
              <w:bottom w:val="single" w:sz="8" w:color="auto"/>
            </w:tcBorders>
          </w:tcPr>
          <w:p>
            <w:pPr>
              <w:jc w:val="right"/>
              <w:ind w:right="986"/>
              <w:spacing w:after="0"/>
              <w:rPr>
                <w:sz w:val="20"/>
                <w:szCs w:val="20"/>
                <w:color w:val="auto"/>
              </w:rPr>
            </w:pPr>
            <w:r>
              <w:rPr>
                <w:rFonts w:ascii="Arial" w:cs="Arial" w:eastAsia="Arial" w:hAnsi="Arial"/>
                <w:sz w:val="11"/>
                <w:szCs w:val="11"/>
                <w:b w:val="1"/>
                <w:bCs w:val="1"/>
                <w:color w:val="auto"/>
              </w:rPr>
              <w:t>Unobservable Inputs</w:t>
            </w:r>
          </w:p>
        </w:tc>
        <w:tc>
          <w:tcPr>
            <w:tcW w:w="12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Range (Weighted-Average)</w:t>
            </w:r>
          </w:p>
        </w:tc>
        <w:tc>
          <w:tcPr>
            <w:tcW w:w="0" w:type="dxa"/>
            <w:vAlign w:val="bottom"/>
          </w:tcPr>
          <w:p>
            <w:pPr>
              <w:spacing w:after="0"/>
              <w:rPr>
                <w:sz w:val="1"/>
                <w:szCs w:val="1"/>
                <w:color w:val="auto"/>
              </w:rPr>
            </w:pPr>
          </w:p>
        </w:tc>
      </w:tr>
      <w:tr>
        <w:trPr>
          <w:trHeight w:val="142"/>
        </w:trPr>
        <w:tc>
          <w:tcPr>
            <w:tcW w:w="3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State and municipal securities</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1,955</w:t>
            </w:r>
          </w:p>
        </w:tc>
        <w:tc>
          <w:tcPr>
            <w:tcW w:w="10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8"/>
              </w:rPr>
              <w:t>Discounted cash flow</w:t>
            </w:r>
          </w:p>
        </w:tc>
        <w:tc>
          <w:tcPr>
            <w:tcW w:w="3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Maturity/Call date</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 month to 5 years</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US Muni BQ curve</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BBB</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Discount rate</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 - 5.7%</w:t>
            </w:r>
          </w:p>
        </w:tc>
        <w:tc>
          <w:tcPr>
            <w:tcW w:w="0" w:type="dxa"/>
            <w:vAlign w:val="bottom"/>
          </w:tcPr>
          <w:p>
            <w:pPr>
              <w:spacing w:after="0"/>
              <w:rPr>
                <w:sz w:val="1"/>
                <w:szCs w:val="1"/>
                <w:color w:val="auto"/>
              </w:rPr>
            </w:pPr>
          </w:p>
        </w:tc>
      </w:tr>
      <w:tr>
        <w:trPr>
          <w:trHeight w:val="162"/>
        </w:trPr>
        <w:tc>
          <w:tcPr>
            <w:tcW w:w="34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Weighted-average coupon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4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Corporate obligations</w:t>
            </w:r>
          </w:p>
        </w:tc>
        <w:tc>
          <w:tcPr>
            <w:tcW w:w="1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9"/>
                <w:szCs w:val="9"/>
                <w:color w:val="auto"/>
              </w:rPr>
            </w:pPr>
          </w:p>
        </w:tc>
        <w:tc>
          <w:tcPr>
            <w:tcW w:w="19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color w:val="auto"/>
                <w:w w:val="98"/>
              </w:rPr>
              <w:t>Discounted cash flow</w:t>
            </w:r>
          </w:p>
        </w:tc>
        <w:tc>
          <w:tcPr>
            <w:tcW w:w="3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Risk free rate</w:t>
            </w:r>
          </w:p>
        </w:tc>
        <w:tc>
          <w:tcPr>
            <w:tcW w:w="14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 month CME Term</w:t>
            </w:r>
          </w:p>
        </w:tc>
        <w:tc>
          <w:tcPr>
            <w:tcW w:w="0" w:type="dxa"/>
            <w:vAlign w:val="bottom"/>
          </w:tcPr>
          <w:p>
            <w:pPr>
              <w:spacing w:after="0"/>
              <w:rPr>
                <w:sz w:val="1"/>
                <w:szCs w:val="1"/>
                <w:color w:val="auto"/>
              </w:rPr>
            </w:pPr>
          </w:p>
        </w:tc>
      </w:tr>
      <w:tr>
        <w:trPr>
          <w:trHeight w:val="142"/>
        </w:trPr>
        <w:tc>
          <w:tcPr>
            <w:tcW w:w="344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3260" w:type="dxa"/>
            <w:vAlign w:val="bottom"/>
            <w:gridSpan w:val="2"/>
            <w:vMerge w:val="continue"/>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SOFR plus 26bps</w:t>
            </w: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plus premium for illiquidity (basis points)</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plus 200bps</w:t>
            </w:r>
          </w:p>
        </w:tc>
        <w:tc>
          <w:tcPr>
            <w:tcW w:w="0" w:type="dxa"/>
            <w:vAlign w:val="bottom"/>
          </w:tcPr>
          <w:p>
            <w:pPr>
              <w:spacing w:after="0"/>
              <w:rPr>
                <w:sz w:val="1"/>
                <w:szCs w:val="1"/>
                <w:color w:val="auto"/>
              </w:rPr>
            </w:pPr>
          </w:p>
        </w:tc>
      </w:tr>
      <w:tr>
        <w:trPr>
          <w:trHeight w:val="182"/>
        </w:trPr>
        <w:tc>
          <w:tcPr>
            <w:tcW w:w="3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Weighted-average coupon</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4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Collateral dependent loans</w:t>
            </w:r>
          </w:p>
        </w:tc>
        <w:tc>
          <w:tcPr>
            <w:tcW w:w="1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65,302</w:t>
            </w:r>
          </w:p>
        </w:tc>
        <w:tc>
          <w:tcPr>
            <w:tcW w:w="100" w:type="dxa"/>
            <w:vAlign w:val="bottom"/>
            <w:shd w:val="clear" w:color="auto" w:fill="CCEEFF"/>
          </w:tcPr>
          <w:p>
            <w:pPr>
              <w:spacing w:after="0"/>
              <w:rPr>
                <w:sz w:val="9"/>
                <w:szCs w:val="9"/>
                <w:color w:val="auto"/>
              </w:rPr>
            </w:pPr>
          </w:p>
        </w:tc>
        <w:tc>
          <w:tcPr>
            <w:tcW w:w="19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color w:val="auto"/>
                <w:w w:val="99"/>
              </w:rPr>
              <w:t>Collateral based measurements</w:t>
            </w:r>
          </w:p>
        </w:tc>
        <w:tc>
          <w:tcPr>
            <w:tcW w:w="3260" w:type="dxa"/>
            <w:vAlign w:val="bottom"/>
            <w:gridSpan w:val="2"/>
            <w:shd w:val="clear" w:color="auto" w:fill="CCEEFF"/>
          </w:tcPr>
          <w:p>
            <w:pPr>
              <w:jc w:val="right"/>
              <w:ind w:right="140"/>
              <w:spacing w:after="0" w:line="109" w:lineRule="exact"/>
              <w:rPr>
                <w:sz w:val="20"/>
                <w:szCs w:val="20"/>
                <w:color w:val="auto"/>
              </w:rPr>
            </w:pPr>
            <w:r>
              <w:rPr>
                <w:rFonts w:ascii="Arial" w:cs="Arial" w:eastAsia="Arial" w:hAnsi="Arial"/>
                <w:sz w:val="11"/>
                <w:szCs w:val="11"/>
                <w:color w:val="auto"/>
              </w:rPr>
              <w:t>Discount to reflect current market conditions and ultimate</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 - 16%</w:t>
            </w:r>
          </w:p>
        </w:tc>
        <w:tc>
          <w:tcPr>
            <w:tcW w:w="0" w:type="dxa"/>
            <w:vAlign w:val="bottom"/>
          </w:tcPr>
          <w:p>
            <w:pPr>
              <w:spacing w:after="0"/>
              <w:rPr>
                <w:sz w:val="1"/>
                <w:szCs w:val="1"/>
                <w:color w:val="auto"/>
              </w:rPr>
            </w:pPr>
          </w:p>
        </w:tc>
      </w:tr>
      <w:tr>
        <w:trPr>
          <w:trHeight w:val="142"/>
        </w:trPr>
        <w:tc>
          <w:tcPr>
            <w:tcW w:w="344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3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collectability</w:t>
            </w:r>
          </w:p>
        </w:tc>
        <w:tc>
          <w:tcPr>
            <w:tcW w:w="14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Weighted-average discount by loan balance</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right="40"/>
        <w:spacing w:after="0" w:line="285" w:lineRule="auto"/>
        <w:rPr>
          <w:sz w:val="20"/>
          <w:szCs w:val="20"/>
          <w:color w:val="auto"/>
        </w:rPr>
      </w:pPr>
      <w:r>
        <w:rPr>
          <w:rFonts w:ascii="Arial" w:cs="Arial" w:eastAsia="Arial" w:hAnsi="Arial"/>
          <w:sz w:val="14"/>
          <w:szCs w:val="14"/>
          <w:color w:val="auto"/>
        </w:rPr>
        <w:t>The following is a discussion of the sensitivity of significant unobservable inputs, the interrelationships between those inputs and other unobservable inputs used in recurring fair value measurement and how those inputs might magnify or mitigate the effect of changes in the unobservable inputs on the fair value measurement.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Municipal and Corporate Bonds</w:t>
      </w:r>
    </w:p>
    <w:p>
      <w:pPr>
        <w:spacing w:after="0" w:line="256"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significant unobservable inputs used in the fair value measurement of the Corporation's municipal and corporate bonds are premiums for unrated securities and marketability discounts. Significant increases or decreases in either of those inputs in isolation would result in a significantly lower or higher fair value measurement. Generally, changes in either of those inputs will not affect the other input.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Collateral Dependent Loans</w:t>
      </w:r>
    </w:p>
    <w:p>
      <w:pPr>
        <w:spacing w:after="0" w:line="256"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The Corporation's loans that are deemed collateral dependent are valued using the fair value of the underlying collateral. Collateral values are generally based on current appraisals, broker price opinions, or internally developed valuations and may be adjusted to reflect management's assumptions regarding market conditions, disposition costs, and the estimated realizable value of the collateral.</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244" w:lineRule="exact"/>
        <w:rPr>
          <w:sz w:val="20"/>
          <w:szCs w:val="20"/>
          <w:color w:val="auto"/>
        </w:rPr>
      </w:pPr>
    </w:p>
    <w:p>
      <w:pPr>
        <w:ind w:right="140"/>
        <w:spacing w:after="0" w:line="305" w:lineRule="auto"/>
        <w:rPr>
          <w:sz w:val="20"/>
          <w:szCs w:val="20"/>
          <w:color w:val="auto"/>
        </w:rPr>
      </w:pPr>
      <w:r>
        <w:rPr>
          <w:rFonts w:ascii="Arial" w:cs="Arial" w:eastAsia="Arial" w:hAnsi="Arial"/>
          <w:sz w:val="14"/>
          <w:szCs w:val="14"/>
          <w:color w:val="auto"/>
        </w:rPr>
        <w:t>The following tables present estimated fair values of the Corporation’s financial instruments not carried at fair value and the level within the fair value hierarchy in which the fair value measurements fall at September 30,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5"/>
          </w:tcPr>
          <w:p>
            <w:pPr>
              <w:ind w:left="860"/>
              <w:spacing w:after="0"/>
              <w:rPr>
                <w:sz w:val="20"/>
                <w:szCs w:val="20"/>
                <w:color w:val="auto"/>
              </w:rPr>
            </w:pPr>
            <w:r>
              <w:rPr>
                <w:rFonts w:ascii="Arial" w:cs="Arial" w:eastAsia="Arial" w:hAnsi="Arial"/>
                <w:sz w:val="11"/>
                <w:szCs w:val="11"/>
                <w:b w:val="1"/>
                <w:bCs w:val="1"/>
                <w:color w:val="auto"/>
              </w:rPr>
              <w:t>September 30, 2026</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Quoted Prices in Active</w:t>
            </w: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5"/>
              </w:rPr>
              <w:t>Significant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rPr>
              <w:t>Markets</w:t>
            </w:r>
          </w:p>
        </w:tc>
        <w:tc>
          <w:tcPr>
            <w:tcW w:w="240" w:type="dxa"/>
            <w:vAlign w:val="bottom"/>
          </w:tcPr>
          <w:p>
            <w:pPr>
              <w:spacing w:after="0"/>
              <w:rPr>
                <w:sz w:val="9"/>
                <w:szCs w:val="9"/>
                <w:color w:val="auto"/>
              </w:rPr>
            </w:pPr>
          </w:p>
        </w:tc>
        <w:tc>
          <w:tcPr>
            <w:tcW w:w="1260" w:type="dxa"/>
            <w:vAlign w:val="bottom"/>
            <w:gridSpan w:val="2"/>
          </w:tcPr>
          <w:p>
            <w:pPr>
              <w:jc w:val="center"/>
              <w:ind w:right="360"/>
              <w:spacing w:after="0" w:line="108" w:lineRule="exact"/>
              <w:rPr>
                <w:sz w:val="20"/>
                <w:szCs w:val="20"/>
                <w:color w:val="auto"/>
              </w:rPr>
            </w:pPr>
            <w:r>
              <w:rPr>
                <w:rFonts w:ascii="Arial" w:cs="Arial" w:eastAsia="Arial" w:hAnsi="Arial"/>
                <w:sz w:val="11"/>
                <w:szCs w:val="11"/>
                <w:b w:val="1"/>
                <w:bCs w:val="1"/>
                <w:color w:val="auto"/>
              </w:rPr>
              <w:t>Other</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Significant Unobservable</w:t>
            </w: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9"/>
              </w:rPr>
              <w:t>for Identical</w:t>
            </w:r>
          </w:p>
        </w:tc>
        <w:tc>
          <w:tcPr>
            <w:tcW w:w="240" w:type="dxa"/>
            <w:vAlign w:val="bottom"/>
          </w:tcPr>
          <w:p>
            <w:pPr>
              <w:spacing w:after="0"/>
              <w:rPr>
                <w:sz w:val="9"/>
                <w:szCs w:val="9"/>
                <w:color w:val="auto"/>
              </w:rPr>
            </w:pPr>
          </w:p>
        </w:tc>
        <w:tc>
          <w:tcPr>
            <w:tcW w:w="1260" w:type="dxa"/>
            <w:vAlign w:val="bottom"/>
            <w:gridSpan w:val="2"/>
          </w:tcPr>
          <w:p>
            <w:pPr>
              <w:jc w:val="center"/>
              <w:ind w:right="360"/>
              <w:spacing w:after="0" w:line="108" w:lineRule="exact"/>
              <w:rPr>
                <w:sz w:val="20"/>
                <w:szCs w:val="20"/>
                <w:color w:val="auto"/>
              </w:rPr>
            </w:pPr>
            <w:r>
              <w:rPr>
                <w:rFonts w:ascii="Arial" w:cs="Arial" w:eastAsia="Arial" w:hAnsi="Arial"/>
                <w:sz w:val="11"/>
                <w:szCs w:val="11"/>
                <w:b w:val="1"/>
                <w:bCs w:val="1"/>
                <w:color w:val="auto"/>
                <w:w w:val="96"/>
              </w:rPr>
              <w:t>Observable</w:t>
            </w:r>
          </w:p>
        </w:tc>
        <w:tc>
          <w:tcPr>
            <w:tcW w:w="14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Assets</w:t>
            </w:r>
          </w:p>
        </w:tc>
        <w:tc>
          <w:tcPr>
            <w:tcW w:w="24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Inputs</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Inputs</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Pr>
          <w:p>
            <w:pPr>
              <w:spacing w:after="0"/>
              <w:rPr>
                <w:sz w:val="19"/>
                <w:szCs w:val="19"/>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(Level 1)</w:t>
            </w:r>
          </w:p>
        </w:tc>
        <w:tc>
          <w:tcPr>
            <w:tcW w:w="24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8"/>
              </w:rPr>
              <w:t>(Level 2)</w:t>
            </w:r>
          </w:p>
        </w:tc>
        <w:tc>
          <w:tcPr>
            <w:tcW w:w="2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8"/>
              </w:rPr>
              <w:t>(Level 3)</w:t>
            </w:r>
          </w:p>
        </w:tc>
        <w:tc>
          <w:tcPr>
            <w:tcW w:w="200" w:type="dxa"/>
            <w:vAlign w:val="bottom"/>
          </w:tcPr>
          <w:p>
            <w:pPr>
              <w:spacing w:after="0"/>
              <w:rPr>
                <w:sz w:val="19"/>
                <w:szCs w:val="19"/>
                <w:color w:val="auto"/>
              </w:rPr>
            </w:pPr>
          </w:p>
        </w:tc>
        <w:tc>
          <w:tcPr>
            <w:tcW w:w="1200" w:type="dxa"/>
            <w:vAlign w:val="bottom"/>
          </w:tcPr>
          <w:p>
            <w:pPr>
              <w:jc w:val="right"/>
              <w:ind w:right="246"/>
              <w:spacing w:after="0"/>
              <w:rPr>
                <w:sz w:val="20"/>
                <w:szCs w:val="20"/>
                <w:color w:val="auto"/>
              </w:rPr>
            </w:pPr>
            <w:r>
              <w:rPr>
                <w:rFonts w:ascii="Arial" w:cs="Arial" w:eastAsia="Arial" w:hAnsi="Arial"/>
                <w:sz w:val="11"/>
                <w:szCs w:val="11"/>
                <w:b w:val="1"/>
                <w:bCs w:val="1"/>
                <w:color w:val="auto"/>
              </w:rPr>
              <w:t>Total Fair Value</w:t>
            </w:r>
          </w:p>
        </w:tc>
        <w:tc>
          <w:tcPr>
            <w:tcW w:w="0" w:type="dxa"/>
            <w:vAlign w:val="bottom"/>
          </w:tcPr>
          <w:p>
            <w:pPr>
              <w:spacing w:after="0"/>
              <w:rPr>
                <w:sz w:val="1"/>
                <w:szCs w:val="1"/>
                <w:color w:val="auto"/>
              </w:rPr>
            </w:pPr>
          </w:p>
        </w:tc>
      </w:tr>
      <w:tr>
        <w:trPr>
          <w:trHeight w:val="129"/>
        </w:trPr>
        <w:tc>
          <w:tcPr>
            <w:tcW w:w="3860" w:type="dxa"/>
            <w:vAlign w:val="bottom"/>
          </w:tcPr>
          <w:p>
            <w:pPr>
              <w:ind w:left="20"/>
              <w:spacing w:after="0"/>
              <w:rPr>
                <w:sz w:val="20"/>
                <w:szCs w:val="20"/>
                <w:color w:val="auto"/>
              </w:rPr>
            </w:pPr>
            <w:r>
              <w:rPr>
                <w:rFonts w:ascii="Arial" w:cs="Arial" w:eastAsia="Arial" w:hAnsi="Arial"/>
                <w:sz w:val="11"/>
                <w:szCs w:val="11"/>
                <w:color w:val="auto"/>
              </w:rPr>
              <w:t>Assets:</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Cash and due from banks</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86,594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86,594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86,594</w:t>
            </w:r>
          </w:p>
        </w:tc>
        <w:tc>
          <w:tcPr>
            <w:tcW w:w="0" w:type="dxa"/>
            <w:vAlign w:val="bottom"/>
          </w:tcPr>
          <w:p>
            <w:pPr>
              <w:spacing w:after="0"/>
              <w:rPr>
                <w:sz w:val="1"/>
                <w:szCs w:val="1"/>
                <w:color w:val="auto"/>
              </w:rPr>
            </w:pPr>
          </w:p>
        </w:tc>
      </w:tr>
      <w:tr>
        <w:trPr>
          <w:trHeight w:val="142"/>
        </w:trPr>
        <w:tc>
          <w:tcPr>
            <w:tcW w:w="3860" w:type="dxa"/>
            <w:vAlign w:val="bottom"/>
          </w:tcPr>
          <w:p>
            <w:pPr>
              <w:ind w:left="480"/>
              <w:spacing w:after="0"/>
              <w:rPr>
                <w:sz w:val="20"/>
                <w:szCs w:val="20"/>
                <w:color w:val="auto"/>
              </w:rPr>
            </w:pPr>
            <w:r>
              <w:rPr>
                <w:rFonts w:ascii="Arial" w:cs="Arial" w:eastAsia="Arial" w:hAnsi="Arial"/>
                <w:sz w:val="11"/>
                <w:szCs w:val="11"/>
                <w:color w:val="auto"/>
              </w:rPr>
              <w:t>Interest-bearing deposits</w:t>
            </w:r>
          </w:p>
        </w:tc>
        <w:tc>
          <w:tcPr>
            <w:tcW w:w="1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262,503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262,503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262,503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860" w:type="dxa"/>
            <w:vAlign w:val="bottom"/>
            <w:shd w:val="clear" w:color="auto" w:fill="CCEEFF"/>
          </w:tcPr>
          <w:p>
            <w:pPr>
              <w:ind w:left="480"/>
              <w:spacing w:after="0" w:line="109" w:lineRule="exact"/>
              <w:rPr>
                <w:sz w:val="20"/>
                <w:szCs w:val="20"/>
                <w:color w:val="auto"/>
              </w:rPr>
            </w:pPr>
            <w:r>
              <w:rPr>
                <w:rFonts w:ascii="Arial" w:cs="Arial" w:eastAsia="Arial" w:hAnsi="Arial"/>
                <w:sz w:val="11"/>
                <w:szCs w:val="11"/>
                <w:color w:val="auto"/>
              </w:rPr>
              <w:t>Investment securities held to maturity, net of allowance for credit</w:t>
            </w:r>
          </w:p>
        </w:tc>
        <w:tc>
          <w:tcPr>
            <w:tcW w:w="160" w:type="dxa"/>
            <w:vAlign w:val="bottom"/>
            <w:shd w:val="clear" w:color="auto" w:fill="CCEEFF"/>
          </w:tcPr>
          <w:p>
            <w:pPr>
              <w:spacing w:after="0"/>
              <w:rPr>
                <w:sz w:val="9"/>
                <w:szCs w:val="9"/>
                <w:color w:val="auto"/>
              </w:rPr>
            </w:pPr>
          </w:p>
        </w:tc>
        <w:tc>
          <w:tcPr>
            <w:tcW w:w="12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1,872,951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1,493,008</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2,469</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1,495,477</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losses</w:t>
            </w:r>
          </w:p>
        </w:tc>
        <w:tc>
          <w:tcPr>
            <w:tcW w:w="1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ind w:left="480"/>
              <w:spacing w:after="0"/>
              <w:rPr>
                <w:sz w:val="20"/>
                <w:szCs w:val="20"/>
                <w:color w:val="auto"/>
              </w:rPr>
            </w:pPr>
            <w:r>
              <w:rPr>
                <w:rFonts w:ascii="Arial" w:cs="Arial" w:eastAsia="Arial" w:hAnsi="Arial"/>
                <w:sz w:val="11"/>
                <w:szCs w:val="11"/>
                <w:color w:val="auto"/>
              </w:rPr>
              <w:t>Loans held for sale</w:t>
            </w:r>
          </w:p>
        </w:tc>
        <w:tc>
          <w:tcPr>
            <w:tcW w:w="1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87,300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91,694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91,694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Net loans</w:t>
            </w:r>
          </w:p>
        </w:tc>
        <w:tc>
          <w:tcPr>
            <w:tcW w:w="1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15,385,448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15,366,594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15,366,594</w:t>
            </w:r>
          </w:p>
        </w:tc>
        <w:tc>
          <w:tcPr>
            <w:tcW w:w="0" w:type="dxa"/>
            <w:vAlign w:val="bottom"/>
          </w:tcPr>
          <w:p>
            <w:pPr>
              <w:spacing w:after="0"/>
              <w:rPr>
                <w:sz w:val="1"/>
                <w:szCs w:val="1"/>
                <w:color w:val="auto"/>
              </w:rPr>
            </w:pPr>
          </w:p>
        </w:tc>
      </w:tr>
      <w:tr>
        <w:trPr>
          <w:trHeight w:val="152"/>
        </w:trPr>
        <w:tc>
          <w:tcPr>
            <w:tcW w:w="3860" w:type="dxa"/>
            <w:vAlign w:val="bottom"/>
          </w:tcPr>
          <w:p>
            <w:pPr>
              <w:ind w:left="480"/>
              <w:spacing w:after="0"/>
              <w:rPr>
                <w:sz w:val="20"/>
                <w:szCs w:val="20"/>
                <w:color w:val="auto"/>
              </w:rPr>
            </w:pPr>
            <w:r>
              <w:rPr>
                <w:rFonts w:ascii="Arial" w:cs="Arial" w:eastAsia="Arial" w:hAnsi="Arial"/>
                <w:sz w:val="11"/>
                <w:szCs w:val="11"/>
                <w:color w:val="auto"/>
              </w:rPr>
              <w:t>Federal Home Loan Bank stock</w:t>
            </w:r>
          </w:p>
        </w:tc>
        <w:tc>
          <w:tcPr>
            <w:tcW w:w="1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70,794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70,794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70,794</w:t>
            </w:r>
          </w:p>
        </w:tc>
        <w:tc>
          <w:tcPr>
            <w:tcW w:w="0" w:type="dxa"/>
            <w:vAlign w:val="bottom"/>
          </w:tcPr>
          <w:p>
            <w:pPr>
              <w:spacing w:after="0"/>
              <w:rPr>
                <w:sz w:val="1"/>
                <w:szCs w:val="1"/>
                <w:color w:val="auto"/>
              </w:rPr>
            </w:pPr>
          </w:p>
        </w:tc>
      </w:tr>
      <w:tr>
        <w:trPr>
          <w:trHeight w:val="15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Interest receivable</w:t>
            </w:r>
          </w:p>
        </w:tc>
        <w:tc>
          <w:tcPr>
            <w:tcW w:w="1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99,280</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99,280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99,280</w:t>
            </w:r>
          </w:p>
        </w:tc>
        <w:tc>
          <w:tcPr>
            <w:tcW w:w="0" w:type="dxa"/>
            <w:vAlign w:val="bottom"/>
          </w:tcPr>
          <w:p>
            <w:pPr>
              <w:spacing w:after="0"/>
              <w:rPr>
                <w:sz w:val="1"/>
                <w:szCs w:val="1"/>
                <w:color w:val="auto"/>
              </w:rPr>
            </w:pPr>
          </w:p>
        </w:tc>
      </w:tr>
      <w:tr>
        <w:trPr>
          <w:trHeight w:val="142"/>
        </w:trPr>
        <w:tc>
          <w:tcPr>
            <w:tcW w:w="3860" w:type="dxa"/>
            <w:vAlign w:val="bottom"/>
          </w:tcPr>
          <w:p>
            <w:pPr>
              <w:ind w:left="20"/>
              <w:spacing w:after="0"/>
              <w:rPr>
                <w:sz w:val="20"/>
                <w:szCs w:val="20"/>
                <w:color w:val="auto"/>
              </w:rPr>
            </w:pPr>
            <w:r>
              <w:rPr>
                <w:rFonts w:ascii="Arial" w:cs="Arial" w:eastAsia="Arial" w:hAnsi="Arial"/>
                <w:sz w:val="11"/>
                <w:szCs w:val="11"/>
                <w:color w:val="auto"/>
              </w:rPr>
              <w:t>Liabilities:</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Deposits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16,928,932</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14,682,831</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2,232,890</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16,915,721</w:t>
            </w:r>
          </w:p>
        </w:tc>
        <w:tc>
          <w:tcPr>
            <w:tcW w:w="0" w:type="dxa"/>
            <w:vAlign w:val="bottom"/>
          </w:tcPr>
          <w:p>
            <w:pPr>
              <w:spacing w:after="0"/>
              <w:rPr>
                <w:sz w:val="1"/>
                <w:szCs w:val="1"/>
                <w:color w:val="auto"/>
              </w:rPr>
            </w:pPr>
          </w:p>
        </w:tc>
      </w:tr>
      <w:tr>
        <w:trPr>
          <w:trHeight w:val="152"/>
        </w:trPr>
        <w:tc>
          <w:tcPr>
            <w:tcW w:w="3860" w:type="dxa"/>
            <w:vAlign w:val="bottom"/>
          </w:tcPr>
          <w:p>
            <w:pPr>
              <w:ind w:left="480"/>
              <w:spacing w:after="0"/>
              <w:rPr>
                <w:sz w:val="20"/>
                <w:szCs w:val="20"/>
                <w:color w:val="auto"/>
              </w:rPr>
            </w:pPr>
            <w:r>
              <w:rPr>
                <w:rFonts w:ascii="Arial" w:cs="Arial" w:eastAsia="Arial" w:hAnsi="Arial"/>
                <w:sz w:val="11"/>
                <w:szCs w:val="11"/>
                <w:color w:val="auto"/>
              </w:rPr>
              <w:t>Borrowings:</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Securities sold under repurchase agreements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99,638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99,631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99,631</w:t>
            </w:r>
          </w:p>
        </w:tc>
        <w:tc>
          <w:tcPr>
            <w:tcW w:w="0" w:type="dxa"/>
            <w:vAlign w:val="bottom"/>
          </w:tcPr>
          <w:p>
            <w:pPr>
              <w:spacing w:after="0"/>
              <w:rPr>
                <w:sz w:val="1"/>
                <w:szCs w:val="1"/>
                <w:color w:val="auto"/>
              </w:rPr>
            </w:pPr>
          </w:p>
        </w:tc>
      </w:tr>
      <w:tr>
        <w:trPr>
          <w:trHeight w:val="142"/>
        </w:trPr>
        <w:tc>
          <w:tcPr>
            <w:tcW w:w="3860" w:type="dxa"/>
            <w:vAlign w:val="bottom"/>
          </w:tcPr>
          <w:p>
            <w:pPr>
              <w:ind w:left="800"/>
              <w:spacing w:after="0"/>
              <w:rPr>
                <w:sz w:val="20"/>
                <w:szCs w:val="20"/>
                <w:color w:val="auto"/>
              </w:rPr>
            </w:pPr>
            <w:r>
              <w:rPr>
                <w:rFonts w:ascii="Arial" w:cs="Arial" w:eastAsia="Arial" w:hAnsi="Arial"/>
                <w:sz w:val="11"/>
                <w:szCs w:val="11"/>
                <w:color w:val="auto"/>
              </w:rPr>
              <w:t>Federal Home Loan Bank advances</w:t>
            </w:r>
          </w:p>
        </w:tc>
        <w:tc>
          <w:tcPr>
            <w:tcW w:w="1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903,941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897,248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897,248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Subordinated notes, debentures and other borrowings</w:t>
            </w:r>
          </w:p>
        </w:tc>
        <w:tc>
          <w:tcPr>
            <w:tcW w:w="1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184,505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174,568</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174,568</w:t>
            </w:r>
          </w:p>
        </w:tc>
        <w:tc>
          <w:tcPr>
            <w:tcW w:w="0" w:type="dxa"/>
            <w:vAlign w:val="bottom"/>
          </w:tcPr>
          <w:p>
            <w:pPr>
              <w:spacing w:after="0"/>
              <w:rPr>
                <w:sz w:val="1"/>
                <w:szCs w:val="1"/>
                <w:color w:val="auto"/>
              </w:rPr>
            </w:pPr>
          </w:p>
        </w:tc>
      </w:tr>
      <w:tr>
        <w:trPr>
          <w:trHeight w:val="142"/>
        </w:trPr>
        <w:tc>
          <w:tcPr>
            <w:tcW w:w="3860" w:type="dxa"/>
            <w:vAlign w:val="bottom"/>
          </w:tcPr>
          <w:p>
            <w:pPr>
              <w:ind w:left="480"/>
              <w:spacing w:after="0"/>
              <w:rPr>
                <w:sz w:val="20"/>
                <w:szCs w:val="20"/>
                <w:color w:val="auto"/>
              </w:rPr>
            </w:pPr>
            <w:r>
              <w:rPr>
                <w:rFonts w:ascii="Arial" w:cs="Arial" w:eastAsia="Arial" w:hAnsi="Arial"/>
                <w:sz w:val="11"/>
                <w:szCs w:val="11"/>
                <w:color w:val="auto"/>
              </w:rPr>
              <w:t>Interest payable</w:t>
            </w:r>
          </w:p>
        </w:tc>
        <w:tc>
          <w:tcPr>
            <w:tcW w:w="1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17,095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17,095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17,095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5"/>
          </w:tcPr>
          <w:p>
            <w:pPr>
              <w:ind w:left="880"/>
              <w:spacing w:after="0"/>
              <w:rPr>
                <w:sz w:val="20"/>
                <w:szCs w:val="20"/>
                <w:color w:val="auto"/>
              </w:rPr>
            </w:pPr>
            <w:r>
              <w:rPr>
                <w:rFonts w:ascii="Arial" w:cs="Arial" w:eastAsia="Arial" w:hAnsi="Arial"/>
                <w:sz w:val="11"/>
                <w:szCs w:val="11"/>
                <w:b w:val="1"/>
                <w:bCs w:val="1"/>
                <w:color w:val="auto"/>
              </w:rPr>
              <w:t>December 31, 2025</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Quoted Prices in Active</w:t>
            </w: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5"/>
              </w:rPr>
              <w:t>Significant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rPr>
              <w:t>Markets</w:t>
            </w:r>
          </w:p>
        </w:tc>
        <w:tc>
          <w:tcPr>
            <w:tcW w:w="240" w:type="dxa"/>
            <w:vAlign w:val="bottom"/>
          </w:tcPr>
          <w:p>
            <w:pPr>
              <w:spacing w:after="0"/>
              <w:rPr>
                <w:sz w:val="9"/>
                <w:szCs w:val="9"/>
                <w:color w:val="auto"/>
              </w:rPr>
            </w:pPr>
          </w:p>
        </w:tc>
        <w:tc>
          <w:tcPr>
            <w:tcW w:w="1260" w:type="dxa"/>
            <w:vAlign w:val="bottom"/>
            <w:gridSpan w:val="2"/>
          </w:tcPr>
          <w:p>
            <w:pPr>
              <w:jc w:val="center"/>
              <w:ind w:right="360"/>
              <w:spacing w:after="0" w:line="108" w:lineRule="exact"/>
              <w:rPr>
                <w:sz w:val="20"/>
                <w:szCs w:val="20"/>
                <w:color w:val="auto"/>
              </w:rPr>
            </w:pPr>
            <w:r>
              <w:rPr>
                <w:rFonts w:ascii="Arial" w:cs="Arial" w:eastAsia="Arial" w:hAnsi="Arial"/>
                <w:sz w:val="11"/>
                <w:szCs w:val="11"/>
                <w:b w:val="1"/>
                <w:bCs w:val="1"/>
                <w:color w:val="auto"/>
              </w:rPr>
              <w:t>Other</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8"/>
              </w:rPr>
              <w:t>Significant Unobservable</w:t>
            </w: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9"/>
              </w:rPr>
              <w:t>for Identical</w:t>
            </w:r>
          </w:p>
        </w:tc>
        <w:tc>
          <w:tcPr>
            <w:tcW w:w="240" w:type="dxa"/>
            <w:vAlign w:val="bottom"/>
          </w:tcPr>
          <w:p>
            <w:pPr>
              <w:spacing w:after="0"/>
              <w:rPr>
                <w:sz w:val="9"/>
                <w:szCs w:val="9"/>
                <w:color w:val="auto"/>
              </w:rPr>
            </w:pPr>
          </w:p>
        </w:tc>
        <w:tc>
          <w:tcPr>
            <w:tcW w:w="1260" w:type="dxa"/>
            <w:vAlign w:val="bottom"/>
            <w:gridSpan w:val="2"/>
          </w:tcPr>
          <w:p>
            <w:pPr>
              <w:jc w:val="center"/>
              <w:ind w:right="360"/>
              <w:spacing w:after="0" w:line="108" w:lineRule="exact"/>
              <w:rPr>
                <w:sz w:val="20"/>
                <w:szCs w:val="20"/>
                <w:color w:val="auto"/>
              </w:rPr>
            </w:pPr>
            <w:r>
              <w:rPr>
                <w:rFonts w:ascii="Arial" w:cs="Arial" w:eastAsia="Arial" w:hAnsi="Arial"/>
                <w:sz w:val="11"/>
                <w:szCs w:val="11"/>
                <w:b w:val="1"/>
                <w:bCs w:val="1"/>
                <w:color w:val="auto"/>
                <w:w w:val="96"/>
              </w:rPr>
              <w:t>Observable</w:t>
            </w:r>
          </w:p>
        </w:tc>
        <w:tc>
          <w:tcPr>
            <w:tcW w:w="14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Assets</w:t>
            </w:r>
          </w:p>
        </w:tc>
        <w:tc>
          <w:tcPr>
            <w:tcW w:w="24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Inputs</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Inputs</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(Level 1)</w:t>
            </w:r>
          </w:p>
        </w:tc>
        <w:tc>
          <w:tcPr>
            <w:tcW w:w="2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8"/>
              </w:rPr>
              <w:t>(Level 2)</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8"/>
              </w:rPr>
              <w:t>(Level 3)</w:t>
            </w:r>
          </w:p>
        </w:tc>
        <w:tc>
          <w:tcPr>
            <w:tcW w:w="200" w:type="dxa"/>
            <w:vAlign w:val="bottom"/>
          </w:tcPr>
          <w:p>
            <w:pPr>
              <w:spacing w:after="0"/>
              <w:rPr>
                <w:sz w:val="18"/>
                <w:szCs w:val="18"/>
                <w:color w:val="auto"/>
              </w:rPr>
            </w:pPr>
          </w:p>
        </w:tc>
        <w:tc>
          <w:tcPr>
            <w:tcW w:w="1200" w:type="dxa"/>
            <w:vAlign w:val="bottom"/>
          </w:tcPr>
          <w:p>
            <w:pPr>
              <w:jc w:val="right"/>
              <w:ind w:right="246"/>
              <w:spacing w:after="0"/>
              <w:rPr>
                <w:sz w:val="20"/>
                <w:szCs w:val="20"/>
                <w:color w:val="auto"/>
              </w:rPr>
            </w:pPr>
            <w:r>
              <w:rPr>
                <w:rFonts w:ascii="Arial" w:cs="Arial" w:eastAsia="Arial" w:hAnsi="Arial"/>
                <w:sz w:val="11"/>
                <w:szCs w:val="11"/>
                <w:b w:val="1"/>
                <w:bCs w:val="1"/>
                <w:color w:val="auto"/>
              </w:rPr>
              <w:t>Total Fair Value</w:t>
            </w:r>
          </w:p>
        </w:tc>
        <w:tc>
          <w:tcPr>
            <w:tcW w:w="0" w:type="dxa"/>
            <w:vAlign w:val="bottom"/>
          </w:tcPr>
          <w:p>
            <w:pPr>
              <w:spacing w:after="0"/>
              <w:rPr>
                <w:sz w:val="1"/>
                <w:szCs w:val="1"/>
                <w:color w:val="auto"/>
              </w:rPr>
            </w:pPr>
          </w:p>
        </w:tc>
      </w:tr>
      <w:tr>
        <w:trPr>
          <w:trHeight w:val="139"/>
        </w:trPr>
        <w:tc>
          <w:tcPr>
            <w:tcW w:w="3860" w:type="dxa"/>
            <w:vAlign w:val="bottom"/>
          </w:tcPr>
          <w:p>
            <w:pPr>
              <w:ind w:left="20"/>
              <w:spacing w:after="0"/>
              <w:rPr>
                <w:sz w:val="20"/>
                <w:szCs w:val="20"/>
                <w:color w:val="auto"/>
              </w:rPr>
            </w:pPr>
            <w:r>
              <w:rPr>
                <w:rFonts w:ascii="Arial" w:cs="Arial" w:eastAsia="Arial" w:hAnsi="Arial"/>
                <w:sz w:val="11"/>
                <w:szCs w:val="11"/>
                <w:color w:val="auto"/>
              </w:rPr>
              <w:t>Assets:</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Cash and due from banks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84,158</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84,158</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84,158</w:t>
            </w:r>
          </w:p>
        </w:tc>
        <w:tc>
          <w:tcPr>
            <w:tcW w:w="0" w:type="dxa"/>
            <w:vAlign w:val="bottom"/>
          </w:tcPr>
          <w:p>
            <w:pPr>
              <w:spacing w:after="0"/>
              <w:rPr>
                <w:sz w:val="1"/>
                <w:szCs w:val="1"/>
                <w:color w:val="auto"/>
              </w:rPr>
            </w:pPr>
          </w:p>
        </w:tc>
      </w:tr>
      <w:tr>
        <w:trPr>
          <w:trHeight w:val="142"/>
        </w:trPr>
        <w:tc>
          <w:tcPr>
            <w:tcW w:w="3860" w:type="dxa"/>
            <w:vAlign w:val="bottom"/>
          </w:tcPr>
          <w:p>
            <w:pPr>
              <w:ind w:left="480"/>
              <w:spacing w:after="0"/>
              <w:rPr>
                <w:sz w:val="20"/>
                <w:szCs w:val="20"/>
                <w:color w:val="auto"/>
              </w:rPr>
            </w:pPr>
            <w:r>
              <w:rPr>
                <w:rFonts w:ascii="Arial" w:cs="Arial" w:eastAsia="Arial" w:hAnsi="Arial"/>
                <w:sz w:val="11"/>
                <w:szCs w:val="11"/>
                <w:color w:val="auto"/>
              </w:rPr>
              <w:t>Interest-bearing deposits</w:t>
            </w:r>
          </w:p>
        </w:tc>
        <w:tc>
          <w:tcPr>
            <w:tcW w:w="1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196,300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196,300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196,300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860" w:type="dxa"/>
            <w:vAlign w:val="bottom"/>
            <w:shd w:val="clear" w:color="auto" w:fill="CCEEFF"/>
          </w:tcPr>
          <w:p>
            <w:pPr>
              <w:ind w:left="480"/>
              <w:spacing w:after="0" w:line="109" w:lineRule="exact"/>
              <w:rPr>
                <w:sz w:val="20"/>
                <w:szCs w:val="20"/>
                <w:color w:val="auto"/>
              </w:rPr>
            </w:pPr>
            <w:r>
              <w:rPr>
                <w:rFonts w:ascii="Arial" w:cs="Arial" w:eastAsia="Arial" w:hAnsi="Arial"/>
                <w:sz w:val="11"/>
                <w:szCs w:val="11"/>
                <w:color w:val="auto"/>
              </w:rPr>
              <w:t>Investment securities held to maturity, net of allowance for credit</w:t>
            </w:r>
          </w:p>
        </w:tc>
        <w:tc>
          <w:tcPr>
            <w:tcW w:w="160" w:type="dxa"/>
            <w:vAlign w:val="bottom"/>
            <w:shd w:val="clear" w:color="auto" w:fill="CCEEFF"/>
          </w:tcPr>
          <w:p>
            <w:pPr>
              <w:spacing w:after="0"/>
              <w:rPr>
                <w:sz w:val="9"/>
                <w:szCs w:val="9"/>
                <w:color w:val="auto"/>
              </w:rPr>
            </w:pPr>
          </w:p>
        </w:tc>
        <w:tc>
          <w:tcPr>
            <w:tcW w:w="12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1,971,539</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1,713,872</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4,415</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1,718,287</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losses</w:t>
            </w:r>
          </w:p>
        </w:tc>
        <w:tc>
          <w:tcPr>
            <w:tcW w:w="1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ind w:left="480"/>
              <w:spacing w:after="0"/>
              <w:rPr>
                <w:sz w:val="20"/>
                <w:szCs w:val="20"/>
                <w:color w:val="auto"/>
              </w:rPr>
            </w:pPr>
            <w:r>
              <w:rPr>
                <w:rFonts w:ascii="Arial" w:cs="Arial" w:eastAsia="Arial" w:hAnsi="Arial"/>
                <w:sz w:val="11"/>
                <w:szCs w:val="11"/>
                <w:color w:val="auto"/>
              </w:rPr>
              <w:t>Loans held for sale</w:t>
            </w:r>
          </w:p>
        </w:tc>
        <w:tc>
          <w:tcPr>
            <w:tcW w:w="1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20,079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20,079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20,079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Net loans</w:t>
            </w:r>
          </w:p>
        </w:tc>
        <w:tc>
          <w:tcPr>
            <w:tcW w:w="1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13,596,110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13,498,304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13,498,304</w:t>
            </w:r>
          </w:p>
        </w:tc>
        <w:tc>
          <w:tcPr>
            <w:tcW w:w="0" w:type="dxa"/>
            <w:vAlign w:val="bottom"/>
          </w:tcPr>
          <w:p>
            <w:pPr>
              <w:spacing w:after="0"/>
              <w:rPr>
                <w:sz w:val="1"/>
                <w:szCs w:val="1"/>
                <w:color w:val="auto"/>
              </w:rPr>
            </w:pPr>
          </w:p>
        </w:tc>
      </w:tr>
      <w:tr>
        <w:trPr>
          <w:trHeight w:val="142"/>
        </w:trPr>
        <w:tc>
          <w:tcPr>
            <w:tcW w:w="3860" w:type="dxa"/>
            <w:vAlign w:val="bottom"/>
          </w:tcPr>
          <w:p>
            <w:pPr>
              <w:ind w:left="480"/>
              <w:spacing w:after="0"/>
              <w:rPr>
                <w:sz w:val="20"/>
                <w:szCs w:val="20"/>
                <w:color w:val="auto"/>
              </w:rPr>
            </w:pPr>
            <w:r>
              <w:rPr>
                <w:rFonts w:ascii="Arial" w:cs="Arial" w:eastAsia="Arial" w:hAnsi="Arial"/>
                <w:sz w:val="11"/>
                <w:szCs w:val="11"/>
                <w:color w:val="auto"/>
              </w:rPr>
              <w:t>Federal Home Loan Bank stock</w:t>
            </w:r>
          </w:p>
        </w:tc>
        <w:tc>
          <w:tcPr>
            <w:tcW w:w="1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47,245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47,245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47,245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1"/>
                <w:szCs w:val="11"/>
                <w:color w:val="auto"/>
              </w:rPr>
              <w:t>Interest receivable</w:t>
            </w:r>
          </w:p>
        </w:tc>
        <w:tc>
          <w:tcPr>
            <w:tcW w:w="1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93,374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93,374</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93,374</w:t>
            </w:r>
          </w:p>
        </w:tc>
        <w:tc>
          <w:tcPr>
            <w:tcW w:w="0" w:type="dxa"/>
            <w:vAlign w:val="bottom"/>
          </w:tcPr>
          <w:p>
            <w:pPr>
              <w:spacing w:after="0"/>
              <w:rPr>
                <w:sz w:val="1"/>
                <w:szCs w:val="1"/>
                <w:color w:val="auto"/>
              </w:rPr>
            </w:pPr>
          </w:p>
        </w:tc>
      </w:tr>
      <w:tr>
        <w:trPr>
          <w:trHeight w:val="142"/>
        </w:trPr>
        <w:tc>
          <w:tcPr>
            <w:tcW w:w="3860" w:type="dxa"/>
            <w:vAlign w:val="bottom"/>
          </w:tcPr>
          <w:p>
            <w:pPr>
              <w:ind w:left="20"/>
              <w:spacing w:after="0"/>
              <w:rPr>
                <w:sz w:val="20"/>
                <w:szCs w:val="20"/>
                <w:color w:val="auto"/>
              </w:rPr>
            </w:pPr>
            <w:r>
              <w:rPr>
                <w:rFonts w:ascii="Arial" w:cs="Arial" w:eastAsia="Arial" w:hAnsi="Arial"/>
                <w:sz w:val="11"/>
                <w:szCs w:val="11"/>
                <w:color w:val="auto"/>
              </w:rPr>
              <w:t>Liabilities:</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Deposits</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15,294,855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13,252,258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2,042,782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15,295,040</w:t>
            </w:r>
          </w:p>
        </w:tc>
        <w:tc>
          <w:tcPr>
            <w:tcW w:w="0" w:type="dxa"/>
            <w:vAlign w:val="bottom"/>
          </w:tcPr>
          <w:p>
            <w:pPr>
              <w:spacing w:after="0"/>
              <w:rPr>
                <w:sz w:val="1"/>
                <w:szCs w:val="1"/>
                <w:color w:val="auto"/>
              </w:rPr>
            </w:pPr>
          </w:p>
        </w:tc>
      </w:tr>
      <w:tr>
        <w:trPr>
          <w:trHeight w:val="142"/>
        </w:trPr>
        <w:tc>
          <w:tcPr>
            <w:tcW w:w="3860" w:type="dxa"/>
            <w:vAlign w:val="bottom"/>
          </w:tcPr>
          <w:p>
            <w:pPr>
              <w:ind w:left="480"/>
              <w:spacing w:after="0"/>
              <w:rPr>
                <w:sz w:val="20"/>
                <w:szCs w:val="20"/>
                <w:color w:val="auto"/>
              </w:rPr>
            </w:pPr>
            <w:r>
              <w:rPr>
                <w:rFonts w:ascii="Arial" w:cs="Arial" w:eastAsia="Arial" w:hAnsi="Arial"/>
                <w:sz w:val="11"/>
                <w:szCs w:val="11"/>
                <w:color w:val="auto"/>
              </w:rPr>
              <w:t>Borrowings:</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Federal funds purchased</w:t>
            </w:r>
          </w:p>
        </w:tc>
        <w:tc>
          <w:tcPr>
            <w:tcW w:w="1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40,000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40,000</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40,000</w:t>
            </w:r>
          </w:p>
        </w:tc>
        <w:tc>
          <w:tcPr>
            <w:tcW w:w="0" w:type="dxa"/>
            <w:vAlign w:val="bottom"/>
          </w:tcPr>
          <w:p>
            <w:pPr>
              <w:spacing w:after="0"/>
              <w:rPr>
                <w:sz w:val="1"/>
                <w:szCs w:val="1"/>
                <w:color w:val="auto"/>
              </w:rPr>
            </w:pPr>
          </w:p>
        </w:tc>
      </w:tr>
      <w:tr>
        <w:trPr>
          <w:trHeight w:val="142"/>
        </w:trPr>
        <w:tc>
          <w:tcPr>
            <w:tcW w:w="3860" w:type="dxa"/>
            <w:vAlign w:val="bottom"/>
          </w:tcPr>
          <w:p>
            <w:pPr>
              <w:ind w:left="800"/>
              <w:spacing w:after="0"/>
              <w:rPr>
                <w:sz w:val="20"/>
                <w:szCs w:val="20"/>
                <w:color w:val="auto"/>
              </w:rPr>
            </w:pPr>
            <w:r>
              <w:rPr>
                <w:rFonts w:ascii="Arial" w:cs="Arial" w:eastAsia="Arial" w:hAnsi="Arial"/>
                <w:sz w:val="11"/>
                <w:szCs w:val="11"/>
                <w:color w:val="auto"/>
              </w:rPr>
              <w:t>Securities sold under repurchase agreements</w:t>
            </w:r>
          </w:p>
        </w:tc>
        <w:tc>
          <w:tcPr>
            <w:tcW w:w="16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103,755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103,747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103,747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rPr>
              <w:t>Federal Home Loan Bank advances</w:t>
            </w:r>
          </w:p>
        </w:tc>
        <w:tc>
          <w:tcPr>
            <w:tcW w:w="1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798,549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803,396</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803,396</w:t>
            </w:r>
          </w:p>
        </w:tc>
        <w:tc>
          <w:tcPr>
            <w:tcW w:w="0" w:type="dxa"/>
            <w:vAlign w:val="bottom"/>
          </w:tcPr>
          <w:p>
            <w:pPr>
              <w:spacing w:after="0"/>
              <w:rPr>
                <w:sz w:val="1"/>
                <w:szCs w:val="1"/>
                <w:color w:val="auto"/>
              </w:rPr>
            </w:pPr>
          </w:p>
        </w:tc>
      </w:tr>
      <w:tr>
        <w:trPr>
          <w:trHeight w:val="152"/>
        </w:trPr>
        <w:tc>
          <w:tcPr>
            <w:tcW w:w="3860" w:type="dxa"/>
            <w:vAlign w:val="bottom"/>
          </w:tcPr>
          <w:p>
            <w:pPr>
              <w:ind w:left="800"/>
              <w:spacing w:after="0"/>
              <w:rPr>
                <w:sz w:val="20"/>
                <w:szCs w:val="20"/>
                <w:color w:val="auto"/>
              </w:rPr>
            </w:pPr>
            <w:r>
              <w:rPr>
                <w:rFonts w:ascii="Arial" w:cs="Arial" w:eastAsia="Arial" w:hAnsi="Arial"/>
                <w:sz w:val="11"/>
                <w:szCs w:val="11"/>
                <w:color w:val="auto"/>
              </w:rPr>
              <w:t>Subordinated notes, debentures and other borrowings</w:t>
            </w:r>
          </w:p>
        </w:tc>
        <w:tc>
          <w:tcPr>
            <w:tcW w:w="16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57,630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53,982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53,982</w:t>
            </w:r>
          </w:p>
        </w:tc>
        <w:tc>
          <w:tcPr>
            <w:tcW w:w="0" w:type="dxa"/>
            <w:vAlign w:val="bottom"/>
          </w:tcPr>
          <w:p>
            <w:pPr>
              <w:spacing w:after="0"/>
              <w:rPr>
                <w:sz w:val="1"/>
                <w:szCs w:val="1"/>
                <w:color w:val="auto"/>
              </w:rPr>
            </w:pPr>
          </w:p>
        </w:tc>
      </w:tr>
      <w:tr>
        <w:trPr>
          <w:trHeight w:val="152"/>
        </w:trPr>
        <w:tc>
          <w:tcPr>
            <w:tcW w:w="38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Interest payable</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18,235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18,235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18,235</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QUALIFIED AFFORDABLE HOUSING INVESTMENTS</w:t>
      </w:r>
    </w:p>
    <w:p>
      <w:pPr>
        <w:spacing w:after="0" w:line="258"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The Corporation has investments in various limited partnerships that sponsor affordable housing projects. The purpose of these investments is to earn an adequate return on capital through the receipt of low income housing tax credits and to assist the Corporation in achieving goals associated with the Community Reinvestment Act ("CRA"). These investments are included in other assets on the Consolidated Condensed Balance Sheets, with any unfunded commitments included in other liabilities. The investments are amortized as a component of income tax expense.</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Corporation’s affordable housing investments as of September 30, 2026 and December 31,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September 30, 2026</w:t>
            </w:r>
          </w:p>
        </w:tc>
        <w:tc>
          <w:tcPr>
            <w:tcW w:w="12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December 31, 2025</w:t>
            </w:r>
          </w:p>
        </w:tc>
      </w:tr>
      <w:tr>
        <w:trPr>
          <w:trHeight w:val="155"/>
        </w:trPr>
        <w:tc>
          <w:tcPr>
            <w:tcW w:w="3540" w:type="dxa"/>
            <w:vAlign w:val="bottom"/>
          </w:tcPr>
          <w:p>
            <w:pPr>
              <w:ind w:left="20"/>
              <w:spacing w:after="0"/>
              <w:rPr>
                <w:sz w:val="20"/>
                <w:szCs w:val="20"/>
                <w:color w:val="auto"/>
              </w:rPr>
            </w:pPr>
            <w:r>
              <w:rPr>
                <w:rFonts w:ascii="Arial" w:cs="Arial" w:eastAsia="Arial" w:hAnsi="Arial"/>
                <w:sz w:val="11"/>
                <w:szCs w:val="11"/>
                <w:b w:val="1"/>
                <w:bCs w:val="1"/>
                <w:color w:val="auto"/>
              </w:rPr>
              <w:t>Investment Type</w:t>
            </w:r>
          </w:p>
        </w:tc>
        <w:tc>
          <w:tcPr>
            <w:tcW w:w="1280" w:type="dxa"/>
            <w:vAlign w:val="bottom"/>
          </w:tcPr>
          <w:p>
            <w:pPr>
              <w:jc w:val="right"/>
              <w:ind w:right="29"/>
              <w:spacing w:after="0"/>
              <w:rPr>
                <w:sz w:val="20"/>
                <w:szCs w:val="20"/>
                <w:color w:val="auto"/>
              </w:rPr>
            </w:pPr>
            <w:r>
              <w:rPr>
                <w:rFonts w:ascii="Arial" w:cs="Arial" w:eastAsia="Arial" w:hAnsi="Arial"/>
                <w:sz w:val="11"/>
                <w:szCs w:val="11"/>
                <w:b w:val="1"/>
                <w:bCs w:val="1"/>
                <w:color w:val="auto"/>
              </w:rPr>
              <w:t>Investment</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tcPr>
          <w:p>
            <w:pPr>
              <w:ind w:left="120"/>
              <w:spacing w:after="0"/>
              <w:rPr>
                <w:sz w:val="20"/>
                <w:szCs w:val="20"/>
                <w:color w:val="auto"/>
              </w:rPr>
            </w:pPr>
            <w:r>
              <w:rPr>
                <w:rFonts w:ascii="Arial" w:cs="Arial" w:eastAsia="Arial" w:hAnsi="Arial"/>
                <w:sz w:val="11"/>
                <w:szCs w:val="11"/>
                <w:b w:val="1"/>
                <w:bCs w:val="1"/>
                <w:color w:val="auto"/>
              </w:rPr>
              <w:t>Unfunded Commitment</w:t>
            </w:r>
          </w:p>
        </w:tc>
        <w:tc>
          <w:tcPr>
            <w:tcW w:w="1300" w:type="dxa"/>
            <w:vAlign w:val="bottom"/>
          </w:tcPr>
          <w:p>
            <w:pPr>
              <w:jc w:val="right"/>
              <w:ind w:right="46"/>
              <w:spacing w:after="0"/>
              <w:rPr>
                <w:sz w:val="20"/>
                <w:szCs w:val="20"/>
                <w:color w:val="auto"/>
              </w:rPr>
            </w:pPr>
            <w:r>
              <w:rPr>
                <w:rFonts w:ascii="Arial" w:cs="Arial" w:eastAsia="Arial" w:hAnsi="Arial"/>
                <w:sz w:val="11"/>
                <w:szCs w:val="11"/>
                <w:b w:val="1"/>
                <w:bCs w:val="1"/>
                <w:color w:val="auto"/>
              </w:rPr>
              <w:t>Investment</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ind w:right="266"/>
              <w:spacing w:after="0"/>
              <w:rPr>
                <w:sz w:val="20"/>
                <w:szCs w:val="20"/>
                <w:color w:val="auto"/>
              </w:rPr>
            </w:pPr>
            <w:r>
              <w:rPr>
                <w:rFonts w:ascii="Arial" w:cs="Arial" w:eastAsia="Arial" w:hAnsi="Arial"/>
                <w:sz w:val="11"/>
                <w:szCs w:val="11"/>
                <w:b w:val="1"/>
                <w:bCs w:val="1"/>
                <w:color w:val="auto"/>
              </w:rPr>
              <w:t>Unfunded Commitment</w:t>
            </w:r>
          </w:p>
        </w:tc>
      </w:tr>
      <w:tr>
        <w:trPr>
          <w:trHeight w:val="142"/>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LIHTC</w:t>
            </w:r>
          </w:p>
        </w:tc>
        <w:tc>
          <w:tcPr>
            <w:tcW w:w="1280" w:type="dxa"/>
            <w:vAlign w:val="bottom"/>
            <w:tcBorders>
              <w:top w:val="single" w:sz="8" w:color="auto"/>
            </w:tcBorders>
            <w:shd w:val="clear" w:color="auto" w:fill="CCEEFF"/>
          </w:tcPr>
          <w:p>
            <w:pPr>
              <w:jc w:val="right"/>
              <w:ind w:right="11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201,600</w:t>
            </w:r>
          </w:p>
        </w:tc>
        <w:tc>
          <w:tcPr>
            <w:tcW w:w="28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6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102,893</w:t>
            </w:r>
          </w:p>
        </w:tc>
        <w:tc>
          <w:tcPr>
            <w:tcW w:w="12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ind w:right="1166"/>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1"/>
                <w:szCs w:val="11"/>
                <w:color w:val="auto"/>
              </w:rPr>
              <w:t>178,380</w:t>
            </w:r>
          </w:p>
        </w:tc>
        <w:tc>
          <w:tcPr>
            <w:tcW w:w="28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6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109,214</w:t>
            </w:r>
          </w:p>
        </w:tc>
      </w:tr>
      <w:tr>
        <w:trPr>
          <w:trHeight w:val="20"/>
        </w:trPr>
        <w:tc>
          <w:tcPr>
            <w:tcW w:w="35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bl>
    <w:p>
      <w:pPr>
        <w:spacing w:after="0" w:line="328"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The following table summarizes the amortization expense and tax credits recognized for the Corporation’s affordable housing investments for the three and nine months ended September 30, 2026 and 2025.</w:t>
      </w:r>
    </w:p>
    <w:p>
      <w:pPr>
        <w:sectPr>
          <w:pgSz w:w="11900" w:h="16838" w:orient="portrait"/>
          <w:cols w:equalWidth="0" w:num="1">
            <w:col w:w="11240"/>
          </w:cols>
          <w:pgMar w:left="320" w:top="354" w:right="339" w:bottom="1440" w:gutter="0" w:footer="0" w:header="0"/>
        </w:sectPr>
      </w:pPr>
    </w:p>
    <w:p>
      <w:pPr>
        <w:spacing w:after="0" w:line="221" w:lineRule="exact"/>
        <w:rPr>
          <w:sz w:val="20"/>
          <w:szCs w:val="20"/>
          <w:color w:val="auto"/>
        </w:rPr>
      </w:pPr>
    </w:p>
    <w:p>
      <w:pPr>
        <w:jc w:val="center"/>
        <w:ind w:left="454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22225</wp:posOffset>
            </wp:positionV>
            <wp:extent cx="2074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9" w:lineRule="exact"/>
        <w:rPr>
          <w:sz w:val="20"/>
          <w:szCs w:val="20"/>
          <w:color w:val="auto"/>
        </w:rPr>
      </w:pPr>
    </w:p>
    <w:p>
      <w:pPr>
        <w:ind w:left="5260"/>
        <w:spacing w:after="0"/>
        <w:tabs>
          <w:tab w:leader="none" w:pos="6940" w:val="left"/>
        </w:tabs>
        <w:rPr>
          <w:sz w:val="20"/>
          <w:szCs w:val="20"/>
          <w:color w:val="auto"/>
        </w:rPr>
      </w:pPr>
      <w:r>
        <w:rPr>
          <w:rFonts w:ascii="Arial" w:cs="Arial" w:eastAsia="Arial" w:hAnsi="Arial"/>
          <w:sz w:val="10"/>
          <w:szCs w:val="10"/>
          <w:b w:val="1"/>
          <w:bCs w:val="1"/>
          <w:color w:val="auto"/>
        </w:rPr>
        <w:t>2026</w:t>
      </w:r>
      <w:r>
        <w:rPr>
          <w:sz w:val="20"/>
          <w:szCs w:val="20"/>
          <w:color w:val="auto"/>
        </w:rPr>
        <w:tab/>
      </w:r>
      <w:r>
        <w:rPr>
          <w:rFonts w:ascii="Arial" w:cs="Arial" w:eastAsia="Arial" w:hAnsi="Arial"/>
          <w:sz w:val="10"/>
          <w:szCs w:val="10"/>
          <w:b w:val="1"/>
          <w:bCs w:val="1"/>
          <w:color w:val="auto"/>
        </w:rPr>
        <w:t>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66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22225</wp:posOffset>
            </wp:positionV>
            <wp:extent cx="20745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9" w:lineRule="exact"/>
        <w:rPr>
          <w:sz w:val="20"/>
          <w:szCs w:val="20"/>
          <w:color w:val="auto"/>
        </w:rPr>
      </w:pPr>
    </w:p>
    <w:p>
      <w:pPr>
        <w:spacing w:after="0"/>
        <w:tabs>
          <w:tab w:leader="none" w:pos="1680" w:val="left"/>
        </w:tabs>
        <w:rPr>
          <w:sz w:val="20"/>
          <w:szCs w:val="20"/>
          <w:color w:val="auto"/>
        </w:rPr>
      </w:pPr>
      <w:r>
        <w:rPr>
          <w:rFonts w:ascii="Arial" w:cs="Arial" w:eastAsia="Arial" w:hAnsi="Arial"/>
          <w:sz w:val="10"/>
          <w:szCs w:val="10"/>
          <w:b w:val="1"/>
          <w:bCs w:val="1"/>
          <w:color w:val="auto"/>
        </w:rPr>
        <w:t>2026</w:t>
      </w:r>
      <w:r>
        <w:rPr>
          <w:sz w:val="20"/>
          <w:szCs w:val="20"/>
          <w:color w:val="auto"/>
        </w:rPr>
        <w:tab/>
      </w:r>
      <w:r>
        <w:rPr>
          <w:rFonts w:ascii="Arial" w:cs="Arial" w:eastAsia="Arial" w:hAnsi="Arial"/>
          <w:sz w:val="10"/>
          <w:szCs w:val="10"/>
          <w:b w:val="1"/>
          <w:bCs w:val="1"/>
          <w:color w:val="auto"/>
        </w:rPr>
        <w:t>2025</w:t>
      </w:r>
    </w:p>
    <w:p>
      <w:pPr>
        <w:spacing w:after="0" w:line="33" w:lineRule="exact"/>
        <w:rPr>
          <w:sz w:val="20"/>
          <w:szCs w:val="20"/>
          <w:color w:val="auto"/>
        </w:rPr>
      </w:pPr>
    </w:p>
    <w:p>
      <w:pPr>
        <w:sectPr>
          <w:pgSz w:w="11900" w:h="16838" w:orient="portrait"/>
          <w:cols w:equalWidth="0" w:num="2">
            <w:col w:w="7920" w:space="720"/>
            <w:col w:w="2600"/>
          </w:cols>
          <w:pgMar w:left="320" w:top="354" w:right="33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Amortization expense</w:t>
            </w:r>
          </w:p>
        </w:tc>
        <w:tc>
          <w:tcPr>
            <w:tcW w:w="660" w:type="dxa"/>
            <w:vAlign w:val="bottom"/>
            <w:tcBorders>
              <w:top w:val="single" w:sz="8" w:color="auto"/>
            </w:tcBorders>
            <w:shd w:val="clear" w:color="auto" w:fill="CCEEFF"/>
          </w:tcPr>
          <w:p>
            <w:pPr>
              <w:jc w:val="right"/>
              <w:ind w:right="52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5,160</w:t>
            </w:r>
          </w:p>
        </w:tc>
        <w:tc>
          <w:tcPr>
            <w:tcW w:w="740" w:type="dxa"/>
            <w:vAlign w:val="bottom"/>
            <w:tcBorders>
              <w:top w:val="single" w:sz="8" w:color="auto"/>
            </w:tcBorders>
            <w:shd w:val="clear" w:color="auto" w:fill="CCEEFF"/>
          </w:tcPr>
          <w:p>
            <w:pPr>
              <w:jc w:val="right"/>
              <w:ind w:right="546"/>
              <w:spacing w:after="0"/>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4,258</w:t>
            </w: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15,267</w:t>
            </w:r>
          </w:p>
        </w:tc>
        <w:tc>
          <w:tcPr>
            <w:tcW w:w="72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12,379</w:t>
            </w:r>
          </w:p>
        </w:tc>
      </w:tr>
      <w:tr>
        <w:trPr>
          <w:trHeight w:val="142"/>
        </w:trPr>
        <w:tc>
          <w:tcPr>
            <w:tcW w:w="4600" w:type="dxa"/>
            <w:vAlign w:val="bottom"/>
          </w:tcPr>
          <w:p>
            <w:pPr>
              <w:ind w:left="20"/>
              <w:spacing w:after="0"/>
              <w:rPr>
                <w:sz w:val="20"/>
                <w:szCs w:val="20"/>
                <w:color w:val="auto"/>
              </w:rPr>
            </w:pPr>
            <w:r>
              <w:rPr>
                <w:rFonts w:ascii="Arial" w:cs="Arial" w:eastAsia="Arial" w:hAnsi="Arial"/>
                <w:sz w:val="11"/>
                <w:szCs w:val="11"/>
                <w:color w:val="auto"/>
              </w:rPr>
              <w:t>Tax credits recognized</w:t>
            </w:r>
          </w:p>
        </w:tc>
        <w:tc>
          <w:tcPr>
            <w:tcW w:w="66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6,412</w:t>
            </w:r>
          </w:p>
        </w:tc>
        <w:tc>
          <w:tcPr>
            <w:tcW w:w="7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5,208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18,963</w:t>
            </w:r>
          </w:p>
        </w:tc>
        <w:tc>
          <w:tcPr>
            <w:tcW w:w="7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15,147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BORROWINGS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Corporation’s borrowings as of September 30, 2026 and December 31, 2025.</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September 30, 2026</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December 31, 2025</w:t>
            </w:r>
          </w:p>
        </w:tc>
      </w:tr>
      <w:tr>
        <w:trPr>
          <w:trHeight w:val="14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Federal funds purchased</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40,000</w:t>
            </w:r>
          </w:p>
        </w:tc>
      </w:tr>
      <w:tr>
        <w:trPr>
          <w:trHeight w:val="142"/>
        </w:trPr>
        <w:tc>
          <w:tcPr>
            <w:tcW w:w="8240" w:type="dxa"/>
            <w:vAlign w:val="bottom"/>
          </w:tcPr>
          <w:p>
            <w:pPr>
              <w:ind w:left="20"/>
              <w:spacing w:after="0"/>
              <w:rPr>
                <w:sz w:val="20"/>
                <w:szCs w:val="20"/>
                <w:color w:val="auto"/>
              </w:rPr>
            </w:pPr>
            <w:r>
              <w:rPr>
                <w:rFonts w:ascii="Arial" w:cs="Arial" w:eastAsia="Arial" w:hAnsi="Arial"/>
                <w:sz w:val="11"/>
                <w:szCs w:val="11"/>
                <w:color w:val="auto"/>
              </w:rPr>
              <w:t>Securities sold under repurchase agreements</w:t>
            </w:r>
          </w:p>
        </w:tc>
        <w:tc>
          <w:tcPr>
            <w:tcW w:w="1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99,638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103,755</w:t>
            </w:r>
          </w:p>
        </w:tc>
      </w:tr>
      <w:tr>
        <w:trPr>
          <w:trHeight w:val="20"/>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4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Federal Home Loan Bank advances</w:t>
            </w: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903,941</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798,549</w:t>
            </w:r>
          </w:p>
        </w:tc>
      </w:tr>
      <w:tr>
        <w:trPr>
          <w:trHeight w:val="15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Subordinated notes, debentures and other borrowings</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184,505</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57,630</w:t>
            </w:r>
          </w:p>
        </w:tc>
      </w:tr>
      <w:tr>
        <w:trPr>
          <w:trHeight w:val="187"/>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borrowings</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1,188,084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999,934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Securities sold under repurchase agreements consist of obligations of the Bank to other parties and are secured by U.S. Government-sponsored enterprise obligations. The maximum amount of outstanding agreements at any month-end during the nine months ended September 30, 2026 and 2025 totaled $120.3 million and $169.1 million, respectively, and the average balance of such agreements totaled $108.9 million and $137.8 million during the same period of 2026 and 2025,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the collateral pledged for repurchase agreements accounted for as secured borrowings as of September 30, 2026 and December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7"/>
              </w:rPr>
              <w:t>September 30, 2026</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6"/>
          </w:tcPr>
          <w:p>
            <w:pPr>
              <w:jc w:val="center"/>
              <w:ind w:left="146"/>
              <w:spacing w:after="0"/>
              <w:rPr>
                <w:sz w:val="20"/>
                <w:szCs w:val="20"/>
                <w:color w:val="auto"/>
              </w:rPr>
            </w:pPr>
            <w:r>
              <w:rPr>
                <w:rFonts w:ascii="Arial" w:cs="Arial" w:eastAsia="Arial" w:hAnsi="Arial"/>
                <w:sz w:val="11"/>
                <w:szCs w:val="11"/>
                <w:b w:val="1"/>
                <w:bCs w:val="1"/>
                <w:color w:val="auto"/>
                <w:w w:val="97"/>
              </w:rPr>
              <w:t>Remaining Contractual Maturity of the Agreements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6"/>
              </w:rPr>
              <w:t>Overnight and</w:t>
            </w:r>
          </w:p>
        </w:tc>
        <w:tc>
          <w:tcPr>
            <w:tcW w:w="140" w:type="dxa"/>
            <w:vAlign w:val="bottom"/>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Up to 30 Days</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rPr>
              <w:t>30-90 Days</w:t>
            </w:r>
          </w:p>
        </w:tc>
        <w:tc>
          <w:tcPr>
            <w:tcW w:w="120" w:type="dxa"/>
            <w:vAlign w:val="bottom"/>
            <w:vMerge w:val="restart"/>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Greater Than 90 Days</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ind w:right="386"/>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8"/>
              </w:rPr>
              <w:t>Continuous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U.S. Government-sponsored mortgage-backed securities</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99,638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99,638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December 31, 2025</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6"/>
          </w:tcPr>
          <w:p>
            <w:pPr>
              <w:jc w:val="center"/>
              <w:ind w:left="166"/>
              <w:spacing w:after="0"/>
              <w:rPr>
                <w:sz w:val="20"/>
                <w:szCs w:val="20"/>
                <w:color w:val="auto"/>
              </w:rPr>
            </w:pPr>
            <w:r>
              <w:rPr>
                <w:rFonts w:ascii="Arial" w:cs="Arial" w:eastAsia="Arial" w:hAnsi="Arial"/>
                <w:sz w:val="11"/>
                <w:szCs w:val="11"/>
                <w:b w:val="1"/>
                <w:bCs w:val="1"/>
                <w:color w:val="auto"/>
                <w:w w:val="98"/>
              </w:rPr>
              <w:t>Remaining Contractual Maturity of the Agreements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6"/>
              </w:rPr>
              <w:t>Overnight and</w:t>
            </w:r>
          </w:p>
        </w:tc>
        <w:tc>
          <w:tcPr>
            <w:tcW w:w="140" w:type="dxa"/>
            <w:vAlign w:val="bottom"/>
          </w:tcPr>
          <w:p>
            <w:pPr>
              <w:spacing w:after="0"/>
              <w:rPr>
                <w:sz w:val="10"/>
                <w:szCs w:val="10"/>
                <w:color w:val="auto"/>
              </w:rPr>
            </w:pPr>
          </w:p>
        </w:tc>
        <w:tc>
          <w:tcPr>
            <w:tcW w:w="10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Up to 30 Days</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rPr>
              <w:t>30-90 Days</w:t>
            </w:r>
          </w:p>
        </w:tc>
        <w:tc>
          <w:tcPr>
            <w:tcW w:w="120" w:type="dxa"/>
            <w:vAlign w:val="bottom"/>
            <w:vMerge w:val="restart"/>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Greater Than 90 Days</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ind w:right="386"/>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tcPr>
          <w:p>
            <w:pPr>
              <w:spacing w:after="0"/>
              <w:rPr>
                <w:sz w:val="13"/>
                <w:szCs w:val="13"/>
                <w:color w:val="auto"/>
              </w:rPr>
            </w:pPr>
          </w:p>
        </w:tc>
        <w:tc>
          <w:tcPr>
            <w:tcW w:w="49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8"/>
              </w:rPr>
              <w:t>Continuous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9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U.S. Government-sponsored mortgage-backed securities</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103,755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103,755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Contractual maturities of borrowings as of September 30, 2026,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Securities Sold</w:t>
            </w:r>
          </w:p>
        </w:tc>
        <w:tc>
          <w:tcPr>
            <w:tcW w:w="220" w:type="dxa"/>
            <w:vAlign w:val="bottom"/>
          </w:tcPr>
          <w:p>
            <w:pPr>
              <w:spacing w:after="0"/>
              <w:rPr>
                <w:sz w:val="10"/>
                <w:szCs w:val="1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Federal Home</w:t>
            </w:r>
          </w:p>
        </w:tc>
        <w:tc>
          <w:tcPr>
            <w:tcW w:w="140" w:type="dxa"/>
            <w:vAlign w:val="bottom"/>
          </w:tcPr>
          <w:p>
            <w:pPr>
              <w:spacing w:after="0"/>
              <w:rPr>
                <w:sz w:val="10"/>
                <w:szCs w:val="10"/>
                <w:color w:val="auto"/>
              </w:rPr>
            </w:pPr>
          </w:p>
        </w:tc>
        <w:tc>
          <w:tcPr>
            <w:tcW w:w="130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Subordinated Notes,</w:t>
            </w:r>
          </w:p>
        </w:tc>
        <w:tc>
          <w:tcPr>
            <w:tcW w:w="0" w:type="dxa"/>
            <w:vAlign w:val="bottom"/>
          </w:tcPr>
          <w:p>
            <w:pPr>
              <w:spacing w:after="0"/>
              <w:rPr>
                <w:sz w:val="1"/>
                <w:szCs w:val="1"/>
                <w:color w:val="auto"/>
              </w:rPr>
            </w:pPr>
          </w:p>
        </w:tc>
      </w:tr>
      <w:tr>
        <w:trPr>
          <w:trHeight w:val="108"/>
        </w:trPr>
        <w:tc>
          <w:tcPr>
            <w:tcW w:w="6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Maturities in Years Ending December 31:</w:t>
            </w:r>
          </w:p>
        </w:tc>
        <w:tc>
          <w:tcPr>
            <w:tcW w:w="180" w:type="dxa"/>
            <w:vAlign w:val="bottom"/>
          </w:tcPr>
          <w:p>
            <w:pPr>
              <w:spacing w:after="0"/>
              <w:rPr>
                <w:sz w:val="9"/>
                <w:szCs w:val="9"/>
                <w:color w:val="auto"/>
              </w:rPr>
            </w:pPr>
          </w:p>
        </w:tc>
        <w:tc>
          <w:tcPr>
            <w:tcW w:w="142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8"/>
              </w:rPr>
              <w:t>Under Repurchase</w:t>
            </w:r>
          </w:p>
        </w:tc>
        <w:tc>
          <w:tcPr>
            <w:tcW w:w="220" w:type="dxa"/>
            <w:vAlign w:val="bottom"/>
          </w:tcPr>
          <w:p>
            <w:pPr>
              <w:spacing w:after="0"/>
              <w:rPr>
                <w:sz w:val="9"/>
                <w:szCs w:val="9"/>
                <w:color w:val="auto"/>
              </w:rPr>
            </w:pPr>
          </w:p>
        </w:tc>
        <w:tc>
          <w:tcPr>
            <w:tcW w:w="1340" w:type="dxa"/>
            <w:vAlign w:val="bottom"/>
            <w:gridSpan w:val="2"/>
          </w:tcPr>
          <w:p>
            <w:pPr>
              <w:jc w:val="center"/>
              <w:ind w:right="340"/>
              <w:spacing w:after="0" w:line="108" w:lineRule="exact"/>
              <w:rPr>
                <w:sz w:val="20"/>
                <w:szCs w:val="20"/>
                <w:color w:val="auto"/>
              </w:rPr>
            </w:pPr>
            <w:r>
              <w:rPr>
                <w:rFonts w:ascii="Arial" w:cs="Arial" w:eastAsia="Arial" w:hAnsi="Arial"/>
                <w:sz w:val="11"/>
                <w:szCs w:val="11"/>
                <w:b w:val="1"/>
                <w:bCs w:val="1"/>
                <w:color w:val="auto"/>
                <w:w w:val="99"/>
              </w:rPr>
              <w:t>Loan Bank</w:t>
            </w:r>
          </w:p>
        </w:tc>
        <w:tc>
          <w:tcPr>
            <w:tcW w:w="140" w:type="dxa"/>
            <w:vAlign w:val="bottom"/>
          </w:tcPr>
          <w:p>
            <w:pPr>
              <w:spacing w:after="0"/>
              <w:rPr>
                <w:sz w:val="9"/>
                <w:szCs w:val="9"/>
                <w:color w:val="auto"/>
              </w:rPr>
            </w:pPr>
          </w:p>
        </w:tc>
        <w:tc>
          <w:tcPr>
            <w:tcW w:w="1300" w:type="dxa"/>
            <w:vAlign w:val="bottom"/>
          </w:tcPr>
          <w:p>
            <w:pPr>
              <w:jc w:val="center"/>
              <w:ind w:right="106"/>
              <w:spacing w:after="0" w:line="108" w:lineRule="exact"/>
              <w:rPr>
                <w:sz w:val="20"/>
                <w:szCs w:val="20"/>
                <w:color w:val="auto"/>
              </w:rPr>
            </w:pPr>
            <w:r>
              <w:rPr>
                <w:rFonts w:ascii="Arial" w:cs="Arial" w:eastAsia="Arial" w:hAnsi="Arial"/>
                <w:sz w:val="11"/>
                <w:szCs w:val="11"/>
                <w:b w:val="1"/>
                <w:bCs w:val="1"/>
                <w:color w:val="auto"/>
                <w:w w:val="98"/>
              </w:rPr>
              <w:t>Debentures and</w:t>
            </w:r>
          </w:p>
        </w:tc>
        <w:tc>
          <w:tcPr>
            <w:tcW w:w="0" w:type="dxa"/>
            <w:vAlign w:val="bottom"/>
          </w:tcPr>
          <w:p>
            <w:pPr>
              <w:spacing w:after="0"/>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Agreements</w:t>
            </w:r>
          </w:p>
        </w:tc>
        <w:tc>
          <w:tcPr>
            <w:tcW w:w="22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Advances</w:t>
            </w:r>
          </w:p>
        </w:tc>
        <w:tc>
          <w:tcPr>
            <w:tcW w:w="140" w:type="dxa"/>
            <w:vAlign w:val="bottom"/>
          </w:tcPr>
          <w:p>
            <w:pPr>
              <w:spacing w:after="0"/>
              <w:rPr>
                <w:sz w:val="13"/>
                <w:szCs w:val="13"/>
                <w:color w:val="auto"/>
              </w:rPr>
            </w:pPr>
          </w:p>
        </w:tc>
        <w:tc>
          <w:tcPr>
            <w:tcW w:w="1300" w:type="dxa"/>
            <w:vAlign w:val="bottom"/>
          </w:tcPr>
          <w:p>
            <w:pPr>
              <w:jc w:val="center"/>
              <w:ind w:right="86"/>
              <w:spacing w:after="0"/>
              <w:rPr>
                <w:sz w:val="20"/>
                <w:szCs w:val="20"/>
                <w:color w:val="auto"/>
              </w:rPr>
            </w:pPr>
            <w:r>
              <w:rPr>
                <w:rFonts w:ascii="Arial" w:cs="Arial" w:eastAsia="Arial" w:hAnsi="Arial"/>
                <w:sz w:val="11"/>
                <w:szCs w:val="11"/>
                <w:b w:val="1"/>
                <w:bCs w:val="1"/>
                <w:color w:val="auto"/>
                <w:w w:val="98"/>
              </w:rPr>
              <w:t>Other Borrowings</w:t>
            </w:r>
          </w:p>
        </w:tc>
        <w:tc>
          <w:tcPr>
            <w:tcW w:w="0" w:type="dxa"/>
            <w:vAlign w:val="bottom"/>
          </w:tcPr>
          <w:p>
            <w:pPr>
              <w:spacing w:after="0"/>
              <w:rPr>
                <w:sz w:val="1"/>
                <w:szCs w:val="1"/>
                <w:color w:val="auto"/>
              </w:rPr>
            </w:pPr>
          </w:p>
        </w:tc>
      </w:tr>
      <w:tr>
        <w:trPr>
          <w:trHeight w:val="142"/>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99,638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330,000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1,061</w:t>
            </w:r>
          </w:p>
        </w:tc>
        <w:tc>
          <w:tcPr>
            <w:tcW w:w="0" w:type="dxa"/>
            <w:vAlign w:val="bottom"/>
          </w:tcPr>
          <w:p>
            <w:pPr>
              <w:spacing w:after="0"/>
              <w:rPr>
                <w:sz w:val="1"/>
                <w:szCs w:val="1"/>
                <w:color w:val="auto"/>
              </w:rPr>
            </w:pPr>
          </w:p>
        </w:tc>
      </w:tr>
      <w:tr>
        <w:trPr>
          <w:trHeight w:val="152"/>
        </w:trPr>
        <w:tc>
          <w:tcPr>
            <w:tcW w:w="6640" w:type="dxa"/>
            <w:vAlign w:val="bottom"/>
          </w:tcPr>
          <w:p>
            <w:pPr>
              <w:ind w:left="20"/>
              <w:spacing w:after="0"/>
              <w:rPr>
                <w:sz w:val="20"/>
                <w:szCs w:val="20"/>
                <w:color w:val="auto"/>
              </w:rPr>
            </w:pPr>
            <w:r>
              <w:rPr>
                <w:rFonts w:ascii="Arial" w:cs="Arial" w:eastAsia="Arial" w:hAnsi="Arial"/>
                <w:sz w:val="11"/>
                <w:szCs w:val="11"/>
                <w:color w:val="auto"/>
              </w:rPr>
              <w:t>2027</w:t>
            </w:r>
          </w:p>
        </w:tc>
        <w:tc>
          <w:tcPr>
            <w:tcW w:w="18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320,000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2"/>
        </w:trPr>
        <w:tc>
          <w:tcPr>
            <w:tcW w:w="6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640" w:type="dxa"/>
            <w:vAlign w:val="bottom"/>
          </w:tcPr>
          <w:p>
            <w:pPr>
              <w:ind w:left="20"/>
              <w:spacing w:after="0"/>
              <w:rPr>
                <w:sz w:val="20"/>
                <w:szCs w:val="20"/>
                <w:color w:val="auto"/>
              </w:rPr>
            </w:pPr>
            <w:r>
              <w:rPr>
                <w:rFonts w:ascii="Arial" w:cs="Arial" w:eastAsia="Arial" w:hAnsi="Arial"/>
                <w:sz w:val="11"/>
                <w:szCs w:val="11"/>
                <w:color w:val="auto"/>
              </w:rPr>
              <w:t>2029</w:t>
            </w:r>
          </w:p>
        </w:tc>
        <w:tc>
          <w:tcPr>
            <w:tcW w:w="180" w:type="dxa"/>
            <w:vAlign w:val="bottom"/>
          </w:tcPr>
          <w:p>
            <w:pPr>
              <w:spacing w:after="0"/>
              <w:rPr>
                <w:sz w:val="12"/>
                <w:szCs w:val="1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2030</w:t>
            </w: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6640" w:type="dxa"/>
            <w:vAlign w:val="bottom"/>
          </w:tcPr>
          <w:p>
            <w:pPr>
              <w:ind w:left="20"/>
              <w:spacing w:after="0"/>
              <w:rPr>
                <w:sz w:val="20"/>
                <w:szCs w:val="20"/>
                <w:color w:val="auto"/>
              </w:rPr>
            </w:pPr>
            <w:r>
              <w:rPr>
                <w:rFonts w:ascii="Arial" w:cs="Arial" w:eastAsia="Arial" w:hAnsi="Arial"/>
                <w:sz w:val="11"/>
                <w:szCs w:val="11"/>
                <w:color w:val="auto"/>
              </w:rPr>
              <w:t>2031 and after</w:t>
            </w:r>
          </w:p>
        </w:tc>
        <w:tc>
          <w:tcPr>
            <w:tcW w:w="18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63,316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189,082</w:t>
            </w:r>
          </w:p>
        </w:tc>
        <w:tc>
          <w:tcPr>
            <w:tcW w:w="0" w:type="dxa"/>
            <w:vAlign w:val="bottom"/>
          </w:tcPr>
          <w:p>
            <w:pPr>
              <w:spacing w:after="0"/>
              <w:rPr>
                <w:sz w:val="1"/>
                <w:szCs w:val="1"/>
                <w:color w:val="auto"/>
              </w:rPr>
            </w:pPr>
          </w:p>
        </w:tc>
      </w:tr>
      <w:tr>
        <w:trPr>
          <w:trHeight w:val="166"/>
        </w:trPr>
        <w:tc>
          <w:tcPr>
            <w:tcW w:w="6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Unamortized debt issuance costs and acquisition-related fair value adjustments</w:t>
            </w: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(5,638)</w:t>
            </w: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99,638</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903,941</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184,505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At September 30, 2026, the outstanding Federal Home Loan Bank ("FHLB") advances had interest rates from 0 percent to 4.56 percent and are subject to restrictions or penalties in the event of prepayment. The total available remaining borrowing capacity from the FHLB at September 30, 2026, was $1.4 billion. As of September 30, 2026, the Corporation had $130.0 million of putable advances with the FHLB.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800"/>
        <w:spacing w:after="0" w:line="305" w:lineRule="auto"/>
        <w:rPr>
          <w:sz w:val="20"/>
          <w:szCs w:val="20"/>
          <w:color w:val="auto"/>
        </w:rPr>
      </w:pPr>
      <w:r>
        <w:rPr>
          <w:rFonts w:ascii="Arial" w:cs="Arial" w:eastAsia="Arial" w:hAnsi="Arial"/>
          <w:sz w:val="14"/>
          <w:szCs w:val="14"/>
          <w:i w:val="1"/>
          <w:iCs w:val="1"/>
          <w:color w:val="auto"/>
        </w:rPr>
        <w:t xml:space="preserve">Subordinated Notes, Debentures and Other Borrowings. </w:t>
      </w:r>
      <w:r>
        <w:rPr>
          <w:rFonts w:ascii="Arial" w:cs="Arial" w:eastAsia="Arial" w:hAnsi="Arial"/>
          <w:sz w:val="14"/>
          <w:szCs w:val="14"/>
          <w:color w:val="auto"/>
        </w:rPr>
        <w:t>As of September 30, 2026 and December 31, 2025, subordinated debentures and other borrowings totaled</w:t>
      </w:r>
      <w:r>
        <w:rPr>
          <w:rFonts w:ascii="Arial" w:cs="Arial" w:eastAsia="Arial" w:hAnsi="Arial"/>
          <w:sz w:val="14"/>
          <w:szCs w:val="14"/>
          <w:i w:val="1"/>
          <w:iCs w:val="1"/>
          <w:color w:val="auto"/>
        </w:rPr>
        <w:t xml:space="preserve"> </w:t>
      </w:r>
      <w:r>
        <w:rPr>
          <w:rFonts w:ascii="Arial" w:cs="Arial" w:eastAsia="Arial" w:hAnsi="Arial"/>
          <w:sz w:val="14"/>
          <w:szCs w:val="14"/>
          <w:color w:val="auto"/>
        </w:rPr>
        <w:t>$184.5 million and $57.6 million, respectively.</w:t>
      </w:r>
    </w:p>
    <w:p>
      <w:pPr>
        <w:spacing w:after="0" w:line="185" w:lineRule="exact"/>
        <w:rPr>
          <w:sz w:val="20"/>
          <w:szCs w:val="20"/>
          <w:color w:val="auto"/>
        </w:rPr>
      </w:pPr>
    </w:p>
    <w:p>
      <w:pPr>
        <w:ind w:left="660" w:hanging="328"/>
        <w:spacing w:after="0" w:line="261" w:lineRule="auto"/>
        <w:tabs>
          <w:tab w:leader="none" w:pos="65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First Merchants Capital Trust II (“FMC Trust II”). </w:t>
      </w:r>
      <w:r>
        <w:rPr>
          <w:rFonts w:ascii="Arial" w:cs="Arial" w:eastAsia="Arial" w:hAnsi="Arial"/>
          <w:sz w:val="14"/>
          <w:szCs w:val="14"/>
          <w:color w:val="auto"/>
        </w:rPr>
        <w:t>At September 30, 2026 and December 31, 2025, the Corporation had $41.7 million of subordinated debentures issued</w:t>
      </w:r>
      <w:r>
        <w:rPr>
          <w:rFonts w:ascii="Arial" w:cs="Arial" w:eastAsia="Arial" w:hAnsi="Arial"/>
          <w:sz w:val="14"/>
          <w:szCs w:val="14"/>
          <w:i w:val="1"/>
          <w:iCs w:val="1"/>
          <w:color w:val="auto"/>
        </w:rPr>
        <w:t xml:space="preserve"> </w:t>
      </w:r>
      <w:r>
        <w:rPr>
          <w:rFonts w:ascii="Arial" w:cs="Arial" w:eastAsia="Arial" w:hAnsi="Arial"/>
          <w:sz w:val="14"/>
          <w:szCs w:val="14"/>
          <w:color w:val="auto"/>
        </w:rPr>
        <w:t>to FMC Trust II, a wholly-owned statutory business trust. FMC Trust II was formed in July 2007 for purposes of issuing trust preferred securities to investors. At that time, it simultaneously issued and sold its common securities to the Corporation, which constituted all of the issued and outstanding common securities of FMC Trust II. The subordinated debentures, which were purchased with the proceeds of the sale of the trust’s capital securities, are the sole assets of FMC Trust II and are fully and unconditionally guaranteed by the Corporation. As of September 30, 2026 and December 31, 2025, the subordinated debentures and trust preferred securities bear interest at a variable rate equal to the three-month CME Term Secured Overnight Financing Rate published by the Chicago Mercantile Exchange Group ("CME Term SOFR"), plus the 0.26161 percent spread adjustment. The interest rates at September 30, 2026 and December 31, 2025 were 5.72 percent and 5.54 percent, respectively. The trust preferred securities are currently redeemable at par and without penalty, subject to the Corporation having first redeemed the related subordinated debentures, with the prior approval of the Board of Governors of the Federal Reserve System ("Federal Reserve") if then required under applicable capital guidelines or policies. The trust preferred securities and the subordinated debentures of FMC Trust II will mature on September 15, 2037. The Corporation continues to hold all outstanding common securities of FMC Trust II.</w:t>
      </w:r>
    </w:p>
    <w:p>
      <w:pPr>
        <w:spacing w:after="0" w:line="207" w:lineRule="exact"/>
        <w:rPr>
          <w:rFonts w:ascii="Arial" w:cs="Arial" w:eastAsia="Arial" w:hAnsi="Arial"/>
          <w:sz w:val="14"/>
          <w:szCs w:val="14"/>
          <w:color w:val="auto"/>
        </w:rPr>
      </w:pPr>
    </w:p>
    <w:p>
      <w:pPr>
        <w:ind w:left="660" w:right="20" w:hanging="328"/>
        <w:spacing w:after="0" w:line="264" w:lineRule="auto"/>
        <w:tabs>
          <w:tab w:leader="none" w:pos="65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Ameriana Capital Trust I. </w:t>
      </w:r>
      <w:r>
        <w:rPr>
          <w:rFonts w:ascii="Arial" w:cs="Arial" w:eastAsia="Arial" w:hAnsi="Arial"/>
          <w:sz w:val="14"/>
          <w:szCs w:val="14"/>
          <w:color w:val="auto"/>
        </w:rPr>
        <w:t>At September 30, 2026 and December 31, 2025, the Corporation had $10.3 million of subordinated debentures issued to Ameriana Capital</w:t>
      </w:r>
      <w:r>
        <w:rPr>
          <w:rFonts w:ascii="Arial" w:cs="Arial" w:eastAsia="Arial" w:hAnsi="Arial"/>
          <w:sz w:val="14"/>
          <w:szCs w:val="14"/>
          <w:i w:val="1"/>
          <w:iCs w:val="1"/>
          <w:color w:val="auto"/>
        </w:rPr>
        <w:t xml:space="preserve"> </w:t>
      </w:r>
      <w:r>
        <w:rPr>
          <w:rFonts w:ascii="Arial" w:cs="Arial" w:eastAsia="Arial" w:hAnsi="Arial"/>
          <w:sz w:val="14"/>
          <w:szCs w:val="14"/>
          <w:color w:val="auto"/>
        </w:rPr>
        <w:t>Trust I. On December 31, 2015, the Corporation acquired Ameriana Capital Trust I in conjunction with its acquisition of Ameriana Bancorp, Inc. With a trust preferred structure substantially similar to that described above for FMC Trust II, the subordinated debentures held by Ameriana Capital Trust I were purchased with the proceeds of the sale of the trust’s capital securities. As of September 30, 2026 and December 31, 2025, the subordinated debentures and trust preferred securities bear interest at a variable rate equal to the three-month CME Term SOFR, plus the 0.26161 percent spread adjustment. The interest rates at September 30, 2026 and December 31, 2025 were 5.66 percent and 5.48 percent, respectively. The trust preferred securities of Ameriana Capital Trust I are currently redeemable at par and without penalty, subject to the Corporation having first redeemed the related subordinated debentures, with the prior approval of the Federal Reserve if then required under applicable capital guidelines or policies. The trust preferred securities and the subordinated debentures of Ameriana Capital Trust I will mature in March 2036. The Corporation continues to hold all of the outstanding common securities of Ameriana Capital Trust I.</w:t>
      </w:r>
    </w:p>
    <w:p>
      <w:pPr>
        <w:spacing w:after="0" w:line="215" w:lineRule="exact"/>
        <w:rPr>
          <w:rFonts w:ascii="Arial" w:cs="Arial" w:eastAsia="Arial" w:hAnsi="Arial"/>
          <w:sz w:val="14"/>
          <w:szCs w:val="14"/>
          <w:color w:val="auto"/>
        </w:rPr>
      </w:pPr>
    </w:p>
    <w:p>
      <w:pPr>
        <w:ind w:left="660" w:right="20" w:hanging="328"/>
        <w:spacing w:after="0" w:line="267" w:lineRule="auto"/>
        <w:tabs>
          <w:tab w:leader="none" w:pos="656"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First Savings Subordinated Notes. </w:t>
      </w:r>
      <w:r>
        <w:rPr>
          <w:rFonts w:ascii="Arial" w:cs="Arial" w:eastAsia="Arial" w:hAnsi="Arial"/>
          <w:sz w:val="14"/>
          <w:szCs w:val="14"/>
          <w:color w:val="auto"/>
        </w:rPr>
        <w:t>On February 1, 2026, the Corporation assumed certain subordinated notes in conjunction with its acquisition of First Savings. The</w:t>
      </w:r>
      <w:r>
        <w:rPr>
          <w:rFonts w:ascii="Arial" w:cs="Arial" w:eastAsia="Arial" w:hAnsi="Arial"/>
          <w:sz w:val="14"/>
          <w:szCs w:val="14"/>
          <w:i w:val="1"/>
          <w:iCs w:val="1"/>
          <w:color w:val="auto"/>
        </w:rPr>
        <w:t xml:space="preserve"> </w:t>
      </w:r>
      <w:r>
        <w:rPr>
          <w:rFonts w:ascii="Arial" w:cs="Arial" w:eastAsia="Arial" w:hAnsi="Arial"/>
          <w:sz w:val="14"/>
          <w:szCs w:val="14"/>
          <w:color w:val="auto"/>
        </w:rPr>
        <w:t>subordinated notes assumed in the acquisition had an outstanding principal balance of $29.0 million at acquisition and were originally issued on March 18, 2022. The notes have a fixed interest rate of 4.50 percent per annum, payable semiannually through March 30, 2027. The notes have a floating interest rate equal to the three-month CME Term SOFR plus 2.76 percent, payable quarterly, after March 30, 2027 through maturity. The notes mature on March 30, 2032, and the Corporation has the option to redeem any or all of the subordinated notes without premium or penalty any time after March 30, 2027 or upon the occurrence of a Tier 2 capital event or tax event.</w:t>
      </w:r>
    </w:p>
    <w:p>
      <w:pPr>
        <w:spacing w:after="0" w:line="373" w:lineRule="exact"/>
        <w:rPr>
          <w:rFonts w:ascii="Arial" w:cs="Arial" w:eastAsia="Arial" w:hAnsi="Arial"/>
          <w:sz w:val="14"/>
          <w:szCs w:val="14"/>
          <w:i w:val="1"/>
          <w:iCs w:val="1"/>
          <w:color w:val="auto"/>
        </w:rPr>
      </w:pPr>
    </w:p>
    <w:p>
      <w:pPr>
        <w:ind w:left="660" w:right="40" w:hanging="328"/>
        <w:spacing w:after="0" w:line="265" w:lineRule="auto"/>
        <w:tabs>
          <w:tab w:leader="none" w:pos="656"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6.75% Fixed-to-Floating Rate Subordinated Notes due 2036 ("2036 Notes"). </w:t>
      </w:r>
      <w:r>
        <w:rPr>
          <w:rFonts w:ascii="Arial" w:cs="Arial" w:eastAsia="Arial" w:hAnsi="Arial"/>
          <w:sz w:val="14"/>
          <w:szCs w:val="14"/>
          <w:color w:val="auto"/>
        </w:rPr>
        <w:t>On September 25, 2026, the Corporation issued $100.0 million of subordinated notes,</w:t>
      </w:r>
      <w:r>
        <w:rPr>
          <w:rFonts w:ascii="Arial" w:cs="Arial" w:eastAsia="Arial" w:hAnsi="Arial"/>
          <w:sz w:val="14"/>
          <w:szCs w:val="14"/>
          <w:i w:val="1"/>
          <w:iCs w:val="1"/>
          <w:color w:val="auto"/>
        </w:rPr>
        <w:t xml:space="preserve"> </w:t>
      </w:r>
      <w:r>
        <w:rPr>
          <w:rFonts w:ascii="Arial" w:cs="Arial" w:eastAsia="Arial" w:hAnsi="Arial"/>
          <w:sz w:val="14"/>
          <w:szCs w:val="14"/>
          <w:color w:val="auto"/>
        </w:rPr>
        <w:t>which bear interest at a fixed annual rate of 6.75 percent through September 30, 2031. During the fixed-rate period, interest is payable semiannually. Beginning October 1, 2031, the interest rate will reset quarterly to a floating rate equal to the three-month CME Term SOFR plus 2.02 percent. During the floating-rate period, interest will be payable quarterly. The notes mature on October 1, 2036. Beginning October 1, 2031, the Corporation may redeem the notes, in whole or in part, at par plus accrued and unpaid interest, subject to prior regulatory approval to the extent required. The notes are unsecured subordinated obligations of the Corporation. Debt issuance costs of $1.9 million were recorded as a direct deduction from the principal amount of the notes and are being amortized to interest expense over the contractual term of the notes. The Corporation received net proceeds of approximately $98.1 million, after deducting underwriting discounts and other issuance costs.</w:t>
      </w:r>
    </w:p>
    <w:p>
      <w:pPr>
        <w:spacing w:after="0" w:line="213" w:lineRule="exact"/>
        <w:rPr>
          <w:rFonts w:ascii="Arial" w:cs="Arial" w:eastAsia="Arial" w:hAnsi="Arial"/>
          <w:sz w:val="14"/>
          <w:szCs w:val="14"/>
          <w:i w:val="1"/>
          <w:iCs w:val="1"/>
          <w:color w:val="auto"/>
        </w:rPr>
      </w:pPr>
    </w:p>
    <w:p>
      <w:pPr>
        <w:ind w:left="660" w:hanging="328"/>
        <w:spacing w:after="0" w:line="267" w:lineRule="auto"/>
        <w:tabs>
          <w:tab w:leader="none" w:pos="656"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Other Borrowings. </w:t>
      </w:r>
      <w:r>
        <w:rPr>
          <w:rFonts w:ascii="Arial" w:cs="Arial" w:eastAsia="Arial" w:hAnsi="Arial"/>
          <w:sz w:val="14"/>
          <w:szCs w:val="14"/>
          <w:color w:val="auto"/>
        </w:rPr>
        <w:t>On April 1, 2022, the Corporation acquired a secured borrowing in conjunction with its acquisition of Level One. The secured borrowing related to a</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loan participation sold by Level One that did not qualify for sales treatment. The secured borrowing bears a fixed rate of 1.00 percent and had a balance of $1.1 million as of September 30, 2026 and December 31, 2025. During the third quarter of 2023, the Corporation acquired a secured borrowing in conjunction with the purchase of the Indianapolis regional headquarters building. The secured borrowing bears a fixed interest rate of 3.41 percent, has a maturity date of March 2035, and had a balance of $6.8 million and $7.0 million as of September 30, 2026 and December 31, 2025,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Line of Credit. </w:t>
      </w:r>
      <w:r>
        <w:rPr>
          <w:rFonts w:ascii="Arial" w:cs="Arial" w:eastAsia="Arial" w:hAnsi="Arial"/>
          <w:sz w:val="14"/>
          <w:szCs w:val="14"/>
          <w:color w:val="auto"/>
        </w:rPr>
        <w:t>As of September 30, 2026 and December 31, 2025, there was no outstanding balance on the line of credit.</w:t>
      </w:r>
    </w:p>
    <w:p>
      <w:pPr>
        <w:spacing w:after="0" w:line="258" w:lineRule="exact"/>
        <w:rPr>
          <w:sz w:val="20"/>
          <w:szCs w:val="20"/>
          <w:color w:val="auto"/>
        </w:rPr>
      </w:pPr>
    </w:p>
    <w:p>
      <w:pPr>
        <w:ind w:left="660" w:right="20" w:hanging="328"/>
        <w:spacing w:after="0" w:line="262" w:lineRule="auto"/>
        <w:tabs>
          <w:tab w:leader="none" w:pos="656"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 xml:space="preserve">U.S. Bank, N.A. </w:t>
      </w:r>
      <w:r>
        <w:rPr>
          <w:rFonts w:ascii="Arial" w:cs="Arial" w:eastAsia="Arial" w:hAnsi="Arial"/>
          <w:sz w:val="14"/>
          <w:szCs w:val="14"/>
          <w:color w:val="auto"/>
        </w:rPr>
        <w:t>On September 30, 2024, the Corporation entered into a Credit Agreement with U.S. Bank, N.A. Under the terms of the Credit Agreement, U.S. Bank,</w:t>
      </w:r>
      <w:r>
        <w:rPr>
          <w:rFonts w:ascii="Arial" w:cs="Arial" w:eastAsia="Arial" w:hAnsi="Arial"/>
          <w:sz w:val="14"/>
          <w:szCs w:val="14"/>
          <w:i w:val="1"/>
          <w:iCs w:val="1"/>
          <w:color w:val="auto"/>
        </w:rPr>
        <w:t xml:space="preserve"> </w:t>
      </w:r>
      <w:r>
        <w:rPr>
          <w:rFonts w:ascii="Arial" w:cs="Arial" w:eastAsia="Arial" w:hAnsi="Arial"/>
          <w:sz w:val="14"/>
          <w:szCs w:val="14"/>
          <w:color w:val="auto"/>
        </w:rPr>
        <w:t>N.A. has provided the Corporation with a revolving line of credit ("Credit Facility") of up to $75.0 million. The outstanding principal balance under the Credit Facility bears interest at a variable rate equal to the one-month CME Term SOFR rate plus 2.25 percent. Interest on the outstanding balance is payable quarterly. Additionally, the Corporation is subject to a non-refundable facility fee equal to 0.40 percent per annum on the average daily unused amount of the Credit Facility, payable quarterly. The Credit Agreement contains customary representations, warranties and covenants. During the third quarter of 2026, the Corporation amended the Credit Facility to extend the termination date from September 29, 2026 to September 28, 2027. As of September 30, 2026 and December 31, 2025, the Corporation's outstanding principal balance under the Credit Facility was zero and the Corporation was in compliance with all covenants.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ACCUMULATED OTHER COMPREHENSIVE LOSS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the balances of each component of accumulated other comprehensive loss, net of tax, as of September 30, 2026 and 2025.</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6"/>
          </w:tcPr>
          <w:p>
            <w:pPr>
              <w:jc w:val="center"/>
              <w:ind w:left="986"/>
              <w:spacing w:after="0"/>
              <w:rPr>
                <w:sz w:val="20"/>
                <w:szCs w:val="20"/>
                <w:color w:val="auto"/>
              </w:rPr>
            </w:pPr>
            <w:r>
              <w:rPr>
                <w:rFonts w:ascii="Arial" w:cs="Arial" w:eastAsia="Arial" w:hAnsi="Arial"/>
                <w:sz w:val="11"/>
                <w:szCs w:val="11"/>
                <w:b w:val="1"/>
                <w:bCs w:val="1"/>
                <w:color w:val="auto"/>
                <w:w w:val="98"/>
              </w:rPr>
              <w:t>Accumulated Other Comprehensive Loss</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98"/>
              </w:rPr>
              <w:t>Unrealized Gains (Losses)</w:t>
            </w:r>
          </w:p>
        </w:tc>
        <w:tc>
          <w:tcPr>
            <w:tcW w:w="100" w:type="dxa"/>
            <w:vAlign w:val="bottom"/>
          </w:tcPr>
          <w:p>
            <w:pPr>
              <w:spacing w:after="0"/>
              <w:rPr>
                <w:sz w:val="9"/>
                <w:szCs w:val="9"/>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7"/>
              </w:rPr>
              <w:t>Unrealized Gains (Losses)</w:t>
            </w: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on Securities Available for</w:t>
            </w: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vMerge w:val="restart"/>
          </w:tcPr>
          <w:p>
            <w:pPr>
              <w:jc w:val="right"/>
              <w:ind w:right="5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Sale</w:t>
            </w:r>
          </w:p>
        </w:tc>
        <w:tc>
          <w:tcPr>
            <w:tcW w:w="100" w:type="dxa"/>
            <w:vAlign w:val="bottom"/>
          </w:tcPr>
          <w:p>
            <w:pPr>
              <w:spacing w:after="0"/>
              <w:rPr>
                <w:sz w:val="13"/>
                <w:szCs w:val="13"/>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on Defined Benefit Plans</w:t>
            </w:r>
          </w:p>
        </w:tc>
        <w:tc>
          <w:tcPr>
            <w:tcW w:w="4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December 31, 2025</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(131,902)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CCEEFF"/>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(130,135)</w:t>
            </w:r>
          </w:p>
        </w:tc>
        <w:tc>
          <w:tcPr>
            <w:tcW w:w="0" w:type="dxa"/>
            <w:vAlign w:val="bottom"/>
          </w:tcPr>
          <w:p>
            <w:pPr>
              <w:spacing w:after="0"/>
              <w:rPr>
                <w:sz w:val="1"/>
                <w:szCs w:val="1"/>
                <w:color w:val="auto"/>
              </w:rPr>
            </w:pPr>
          </w:p>
        </w:tc>
      </w:tr>
      <w:tr>
        <w:trPr>
          <w:trHeight w:val="135"/>
        </w:trPr>
        <w:tc>
          <w:tcPr>
            <w:tcW w:w="6440" w:type="dxa"/>
            <w:vAlign w:val="bottom"/>
          </w:tcPr>
          <w:p>
            <w:pPr>
              <w:ind w:left="360"/>
              <w:spacing w:after="0"/>
              <w:rPr>
                <w:sz w:val="20"/>
                <w:szCs w:val="20"/>
                <w:color w:val="auto"/>
              </w:rPr>
            </w:pPr>
            <w:r>
              <w:rPr>
                <w:rFonts w:ascii="Arial" w:cs="Arial" w:eastAsia="Arial" w:hAnsi="Arial"/>
                <w:sz w:val="11"/>
                <w:szCs w:val="11"/>
                <w:color w:val="auto"/>
              </w:rPr>
              <w:t>Other comprehensive loss before reclassifications</w:t>
            </w: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(97,802)</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(97,802)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Amounts reclassified from accumulated other comprehensive loss</w:t>
            </w:r>
          </w:p>
        </w:tc>
        <w:tc>
          <w:tcPr>
            <w:tcW w:w="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Period change</w:t>
            </w:r>
          </w:p>
        </w:tc>
        <w:tc>
          <w:tcPr>
            <w:tcW w:w="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(97,802)</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(97,802)</w:t>
            </w:r>
          </w:p>
        </w:tc>
        <w:tc>
          <w:tcPr>
            <w:tcW w:w="0" w:type="dxa"/>
            <w:vAlign w:val="bottom"/>
          </w:tcPr>
          <w:p>
            <w:pPr>
              <w:spacing w:after="0"/>
              <w:rPr>
                <w:sz w:val="1"/>
                <w:szCs w:val="1"/>
                <w:color w:val="auto"/>
              </w:rPr>
            </w:pPr>
          </w:p>
        </w:tc>
      </w:tr>
      <w:tr>
        <w:trPr>
          <w:trHeight w:val="18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 at September 30, 2026</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(229,704)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1,767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(227,937)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Balance at December 31, 2024</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(188,412)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(188,685)</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Other comprehensive income before reclassifications</w:t>
            </w:r>
          </w:p>
        </w:tc>
        <w:tc>
          <w:tcPr>
            <w:tcW w:w="8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32,815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32,815</w:t>
            </w:r>
          </w:p>
        </w:tc>
        <w:tc>
          <w:tcPr>
            <w:tcW w:w="0" w:type="dxa"/>
            <w:vAlign w:val="bottom"/>
          </w:tcPr>
          <w:p>
            <w:pPr>
              <w:spacing w:after="0"/>
              <w:rPr>
                <w:sz w:val="1"/>
                <w:szCs w:val="1"/>
                <w:color w:val="auto"/>
              </w:rPr>
            </w:pPr>
          </w:p>
        </w:tc>
      </w:tr>
      <w:tr>
        <w:trPr>
          <w:trHeight w:val="155"/>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Amounts reclassified from accumulated other comprehensive loss</w:t>
            </w: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6"/>
        </w:trPr>
        <w:tc>
          <w:tcPr>
            <w:tcW w:w="6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Period change</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32,821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32,821</w:t>
            </w:r>
          </w:p>
        </w:tc>
        <w:tc>
          <w:tcPr>
            <w:tcW w:w="0" w:type="dxa"/>
            <w:vAlign w:val="bottom"/>
          </w:tcPr>
          <w:p>
            <w:pPr>
              <w:spacing w:after="0"/>
              <w:rPr>
                <w:sz w:val="1"/>
                <w:szCs w:val="1"/>
                <w:color w:val="auto"/>
              </w:rPr>
            </w:pPr>
          </w:p>
        </w:tc>
      </w:tr>
      <w:tr>
        <w:trPr>
          <w:trHeight w:val="162"/>
        </w:trPr>
        <w:tc>
          <w:tcPr>
            <w:tcW w:w="644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Balance at September 30, 2025</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(155,591)</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(273)</w:t>
            </w:r>
          </w:p>
        </w:tc>
        <w:tc>
          <w:tcPr>
            <w:tcW w:w="100" w:type="dxa"/>
            <w:vAlign w:val="bottom"/>
            <w:tcBorders>
              <w:top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(155,864)</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The following table presents the reclassification adjustments out of accumulated other comprehensive loss that were included in net income in the Consolidated Condensed Statements of Income for the nine months ended September 30, 2026 and 2025. No amounts were reclassified during the three months ended September 30, 2026 and 2025.</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Details about Accumulated Other Comprehensive Loss Components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Unrealized gains (losses) on available for sale securities </w:t>
      </w:r>
      <w:r>
        <w:rPr>
          <w:rFonts w:ascii="Arial" w:cs="Arial" w:eastAsia="Arial" w:hAnsi="Arial"/>
          <w:sz w:val="14"/>
          <w:szCs w:val="14"/>
          <w:color w:val="auto"/>
          <w:vertAlign w:val="superscript"/>
        </w:rPr>
        <w:t>(1)</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Realized securities losses reclassified into income</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1"/>
          <w:szCs w:val="11"/>
          <w:color w:val="auto"/>
        </w:rPr>
        <w:t>Related income tax benefit (expense)</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reclassifications for the period, net of tax</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4460"/>
        <w:spacing w:after="0"/>
        <w:rPr>
          <w:sz w:val="20"/>
          <w:szCs w:val="20"/>
          <w:color w:val="auto"/>
        </w:rPr>
      </w:pPr>
      <w:r>
        <w:rPr>
          <w:rFonts w:ascii="Arial" w:cs="Arial" w:eastAsia="Arial" w:hAnsi="Arial"/>
          <w:sz w:val="11"/>
          <w:szCs w:val="11"/>
          <w:b w:val="1"/>
          <w:bCs w:val="1"/>
          <w:color w:val="auto"/>
        </w:rPr>
        <w:t>Amounts Reclassified from Accumulated Other</w:t>
      </w:r>
    </w:p>
    <w:p>
      <w:pPr>
        <w:jc w:val="center"/>
        <w:ind w:right="4460"/>
        <w:spacing w:after="0" w:line="204" w:lineRule="auto"/>
        <w:rPr>
          <w:sz w:val="20"/>
          <w:szCs w:val="20"/>
          <w:color w:val="auto"/>
        </w:rPr>
      </w:pPr>
      <w:r>
        <w:rPr>
          <w:rFonts w:ascii="Arial" w:cs="Arial" w:eastAsia="Arial" w:hAnsi="Arial"/>
          <w:sz w:val="11"/>
          <w:szCs w:val="11"/>
          <w:b w:val="1"/>
          <w:bCs w:val="1"/>
          <w:color w:val="auto"/>
        </w:rPr>
        <w:t>Comprehensive Loss For the Nine Months</w:t>
      </w:r>
    </w:p>
    <w:p>
      <w:pPr>
        <w:jc w:val="center"/>
        <w:ind w:right="4460"/>
        <w:spacing w:after="0"/>
        <w:rPr>
          <w:sz w:val="20"/>
          <w:szCs w:val="20"/>
          <w:color w:val="auto"/>
        </w:rPr>
      </w:pPr>
      <w:r>
        <w:rPr>
          <w:rFonts w:ascii="Arial" w:cs="Arial" w:eastAsia="Arial" w:hAnsi="Arial"/>
          <w:sz w:val="11"/>
          <w:szCs w:val="11"/>
          <w:b w:val="1"/>
          <w:bCs w:val="1"/>
          <w:color w:val="auto"/>
        </w:rPr>
        <w:t>Ended 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2026</w:t>
            </w:r>
          </w:p>
        </w:tc>
        <w:tc>
          <w:tcPr>
            <w:tcW w:w="3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2025</w:t>
            </w: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Borders>
              <w:bottom w:val="single" w:sz="8" w:color="auto"/>
            </w:tcBorders>
          </w:tcPr>
          <w:p>
            <w:pPr>
              <w:ind w:left="960"/>
              <w:spacing w:after="0"/>
              <w:rPr>
                <w:sz w:val="20"/>
                <w:szCs w:val="20"/>
                <w:color w:val="auto"/>
              </w:rPr>
            </w:pPr>
            <w:r>
              <w:rPr>
                <w:rFonts w:ascii="Arial" w:cs="Arial" w:eastAsia="Arial" w:hAnsi="Arial"/>
                <w:sz w:val="11"/>
                <w:szCs w:val="11"/>
                <w:b w:val="1"/>
                <w:bCs w:val="1"/>
                <w:color w:val="auto"/>
              </w:rPr>
              <w:t>Affected Line Item in the Statements of Income</w:t>
            </w:r>
          </w:p>
        </w:tc>
      </w:tr>
      <w:tr>
        <w:trPr>
          <w:trHeight w:val="304"/>
        </w:trPr>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1"/>
                <w:szCs w:val="11"/>
                <w:color w:val="auto"/>
              </w:rPr>
              <w:t>Noninterest income - net realized losses on sales of available for sale securities</w:t>
            </w:r>
          </w:p>
        </w:tc>
      </w:tr>
      <w:tr>
        <w:trPr>
          <w:trHeight w:val="175"/>
        </w:trPr>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1"/>
                <w:szCs w:val="11"/>
                <w:color w:val="auto"/>
              </w:rPr>
              <w:t>Income tax expense</w:t>
            </w:r>
          </w:p>
        </w:tc>
      </w:tr>
      <w:tr>
        <w:trPr>
          <w:trHeight w:val="155"/>
        </w:trPr>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27"/>
        </w:trPr>
        <w:tc>
          <w:tcPr>
            <w:tcW w:w="8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-248285</wp:posOffset>
            </wp:positionV>
            <wp:extent cx="71323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-462280</wp:posOffset>
            </wp:positionV>
            <wp:extent cx="7132320" cy="11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560" w:space="720"/>
            <w:col w:w="6960"/>
          </w:cols>
          <w:pgMar w:left="320" w:top="354" w:right="339" w:bottom="1440" w:gutter="0" w:footer="0" w:header="0"/>
          <w:type w:val="continuous"/>
        </w:sectPr>
      </w:pPr>
    </w:p>
    <w:p>
      <w:pPr>
        <w:ind w:right="360" w:firstLine="8"/>
        <w:spacing w:after="0" w:line="317" w:lineRule="auto"/>
        <w:tabs>
          <w:tab w:leader="none" w:pos="105" w:val="left"/>
        </w:tabs>
        <w:numPr>
          <w:ilvl w:val="0"/>
          <w:numId w:val="8"/>
        </w:numPr>
        <w:rPr>
          <w:rFonts w:ascii="Arial" w:cs="Arial" w:eastAsia="Arial" w:hAnsi="Arial"/>
          <w:sz w:val="11"/>
          <w:szCs w:val="11"/>
          <w:color w:val="auto"/>
          <w:vertAlign w:val="superscript"/>
        </w:rPr>
      </w:pPr>
      <w:r>
        <w:rPr>
          <w:rFonts w:ascii="Arial" w:cs="Arial" w:eastAsia="Arial" w:hAnsi="Arial"/>
          <w:sz w:val="9"/>
          <w:szCs w:val="9"/>
          <w:color w:val="auto"/>
        </w:rPr>
        <w:t>For additional detail related to unrealized gains (losses) on available for sale securities and related amounts reclassified from accumulated other comprehensive loss see NOTE 3. INVESTMENT SECURITIES of these Notes to Consolidated Condensed Financial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w:t>
      </w:r>
    </w:p>
    <w:p>
      <w:pPr>
        <w:spacing w:after="0" w:line="25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Restricted Stock Awards ("RSAs") have been issued to directors, officers and other management employees under the Corporation's 2024 Long-term Equity Incentive Plan, the 2019 Long-term Equity Incentive Plan, and the Equity Compensation Plan for Non-Employee Directors. Stock options were previously issued under the Corporation's equity compensation plans, including the Level One Bancorp, Inc. 2007 Stock Option Plan. The stock options had a ten-year life, became 100 percent vested over periods ranging from one year to two years and were fully exercisable when vested. Option exercise prices equaled the closing price of the Corporation's common stock on Nasdaq on the date of grant. The final outstanding stock options were exercised during the nine months ended September 30, 2026 and no stock options remained outstanding as of September 30, 2026. The RSAs issued to employees and non-employee directors provide for the issuance of shares of the Corporation's common stock at no cost to the holder and generally vest after three years. RSAs issued to employees generally vest only if the employee remains actively employed by the Corporation on the vesting date, and RSAs issued to non-employee directors generally vest only if the director remains an active board member on the vesting date. Depending on the applicable plan, RSAs either vest immediately or continue to vest following retirement, disability or death.</w:t>
      </w:r>
    </w:p>
    <w:p>
      <w:pPr>
        <w:spacing w:after="0" w:line="214" w:lineRule="exact"/>
        <w:rPr>
          <w:sz w:val="20"/>
          <w:szCs w:val="20"/>
          <w:color w:val="auto"/>
        </w:rPr>
      </w:pPr>
    </w:p>
    <w:p>
      <w:pPr>
        <w:jc w:val="both"/>
        <w:ind w:right="280"/>
        <w:spacing w:after="0" w:line="267" w:lineRule="auto"/>
        <w:rPr>
          <w:sz w:val="20"/>
          <w:szCs w:val="20"/>
          <w:color w:val="auto"/>
        </w:rPr>
      </w:pPr>
      <w:r>
        <w:rPr>
          <w:rFonts w:ascii="Arial" w:cs="Arial" w:eastAsia="Arial" w:hAnsi="Arial"/>
          <w:sz w:val="14"/>
          <w:szCs w:val="14"/>
          <w:color w:val="auto"/>
        </w:rPr>
        <w:t>The Corporation’s 2024 Employee Stock Purchase Plan ("ESPP") provides eligible employees of the Corporation an opportunity to purchase shares of common stock of the Corporation through quarterly offerings financed by payroll deductions. The price of the stock to be paid by the employees shall be equal to 85 percent of the average of the closing price of the Corporation’s common stock on each trading day during the offering period. However, in no event shall such purchase price be less than the lesser of an amount equal to 85 percent of the market price of the Corporation’s stock on the offering date or an amount equal to 85 percent of the market value on the date of purchase. Common stock purchases are made quarterly and are paid through advance payroll deductions up to a calendar year maximum of $25,000.</w:t>
      </w:r>
    </w:p>
    <w:p>
      <w:pPr>
        <w:sectPr>
          <w:pgSz w:w="11900" w:h="16838" w:orient="portrait"/>
          <w:cols w:equalWidth="0" w:num="1">
            <w:col w:w="11240"/>
          </w:cols>
          <w:pgMar w:left="320" w:top="3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80"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Compensation expense related to unvested share-based awards is recorded by recognizing the unamortized grant date fair value of these awards over the remaining service periods of those awards, with no change in historical reported fair values and earnings. Awards are valued at fair value in accordance with provisions of share-based compensation guidance and are recognized on a straight-line basis over the service periods of each award. To complete the exercise of vested stock options, RSAs and ESPP options, the Corporation generally issues new shares from its authorized but unissued share pool. Share-based compensation has been recognized as a component of salaries and employee benefits expense in the accompanying Consolidated Condensed Statements of Income.</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components of the Corporation's share-based compensation awards recorded as an expense and the income tax benefit of such awards.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2760" w:type="dxa"/>
            <w:vAlign w:val="bottom"/>
            <w:gridSpan w:val="4"/>
          </w:tcPr>
          <w:p>
            <w:pPr>
              <w:jc w:val="right"/>
              <w:ind w:right="166"/>
              <w:spacing w:after="0"/>
              <w:rPr>
                <w:sz w:val="20"/>
                <w:szCs w:val="20"/>
                <w:color w:val="auto"/>
              </w:rPr>
            </w:pPr>
            <w:r>
              <w:rPr>
                <w:rFonts w:ascii="Arial" w:cs="Arial" w:eastAsia="Arial" w:hAnsi="Arial"/>
                <w:sz w:val="11"/>
                <w:szCs w:val="11"/>
                <w:b w:val="1"/>
                <w:bCs w:val="1"/>
                <w:color w:val="auto"/>
              </w:rPr>
              <w:t>Three Months Ended September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20" w:type="dxa"/>
            <w:vAlign w:val="bottom"/>
            <w:gridSpan w:val="4"/>
          </w:tcPr>
          <w:p>
            <w:pPr>
              <w:jc w:val="right"/>
              <w:ind w:right="706"/>
              <w:spacing w:after="0"/>
              <w:rPr>
                <w:sz w:val="20"/>
                <w:szCs w:val="20"/>
                <w:color w:val="auto"/>
              </w:rPr>
            </w:pPr>
            <w:r>
              <w:rPr>
                <w:rFonts w:ascii="Arial" w:cs="Arial" w:eastAsia="Arial" w:hAnsi="Arial"/>
                <w:sz w:val="11"/>
                <w:szCs w:val="11"/>
                <w:b w:val="1"/>
                <w:bCs w:val="1"/>
                <w:color w:val="auto"/>
              </w:rPr>
              <w:t>Nine Months Ended September 30,</w:t>
            </w:r>
          </w:p>
        </w:tc>
      </w:tr>
      <w:tr>
        <w:trPr>
          <w:trHeight w:val="169"/>
        </w:trPr>
        <w:tc>
          <w:tcPr>
            <w:tcW w:w="45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2026</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2025</w:t>
            </w:r>
          </w:p>
        </w:tc>
      </w:tr>
      <w:tr>
        <w:trPr>
          <w:trHeight w:val="148"/>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and ESPP Options</w:t>
            </w:r>
          </w:p>
        </w:tc>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2"/>
        </w:trPr>
        <w:tc>
          <w:tcPr>
            <w:tcW w:w="4580" w:type="dxa"/>
            <w:vAlign w:val="bottom"/>
          </w:tcPr>
          <w:p>
            <w:pPr>
              <w:ind w:left="360"/>
              <w:spacing w:after="0"/>
              <w:rPr>
                <w:sz w:val="20"/>
                <w:szCs w:val="20"/>
                <w:color w:val="auto"/>
              </w:rPr>
            </w:pPr>
            <w:r>
              <w:rPr>
                <w:rFonts w:ascii="Arial" w:cs="Arial" w:eastAsia="Arial" w:hAnsi="Arial"/>
                <w:sz w:val="11"/>
                <w:szCs w:val="11"/>
                <w:color w:val="auto"/>
              </w:rPr>
              <w:t>Pre-tax compensation expense</w:t>
            </w:r>
          </w:p>
        </w:tc>
        <w:tc>
          <w:tcPr>
            <w:tcW w:w="1080" w:type="dxa"/>
            <w:vAlign w:val="bottom"/>
          </w:tcPr>
          <w:p>
            <w:pPr>
              <w:jc w:val="right"/>
              <w:ind w:right="9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2"/>
                <w:szCs w:val="12"/>
                <w:color w:val="auto"/>
              </w:rPr>
            </w:pP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82</w:t>
            </w:r>
          </w:p>
        </w:tc>
      </w:t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5"/>
        </w:trPr>
        <w:tc>
          <w:tcPr>
            <w:tcW w:w="45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Income tax expense (benefit)</w:t>
            </w: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62"/>
        </w:trPr>
        <w:tc>
          <w:tcPr>
            <w:tcW w:w="458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Stock and ESPP option expense, net of income taxes</w:t>
            </w:r>
          </w:p>
        </w:tc>
        <w:tc>
          <w:tcPr>
            <w:tcW w:w="10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45</w:t>
            </w:r>
          </w:p>
        </w:tc>
        <w:tc>
          <w:tcPr>
            <w:tcW w:w="100" w:type="dxa"/>
            <w:vAlign w:val="bottom"/>
            <w:tcBorders>
              <w:top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94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w:t>
            </w:r>
          </w:p>
        </w:tc>
        <w:tc>
          <w:tcPr>
            <w:tcW w:w="100" w:type="dxa"/>
            <w:vAlign w:val="bottom"/>
            <w:tcBorders>
              <w:top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78</w:t>
            </w:r>
          </w:p>
        </w:tc>
        <w:tc>
          <w:tcPr>
            <w:tcW w:w="100" w:type="dxa"/>
            <w:vAlign w:val="bottom"/>
            <w:tcBorders>
              <w:top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67</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9"/>
        </w:trPr>
        <w:tc>
          <w:tcPr>
            <w:tcW w:w="4580" w:type="dxa"/>
            <w:vAlign w:val="bottom"/>
            <w:tcBorders>
              <w:bottom w:val="single" w:sz="8" w:color="CCEEFF"/>
            </w:tcBorders>
            <w:shd w:val="clear" w:color="auto" w:fill="CCEEFF"/>
          </w:tcPr>
          <w:p>
            <w:pPr>
              <w:ind w:left="20"/>
              <w:spacing w:after="0" w:line="109" w:lineRule="exact"/>
              <w:rPr>
                <w:sz w:val="20"/>
                <w:szCs w:val="20"/>
                <w:color w:val="auto"/>
              </w:rPr>
            </w:pPr>
            <w:r>
              <w:rPr>
                <w:rFonts w:ascii="Arial" w:cs="Arial" w:eastAsia="Arial" w:hAnsi="Arial"/>
                <w:sz w:val="11"/>
                <w:szCs w:val="11"/>
                <w:color w:val="auto"/>
              </w:rPr>
              <w:t>Restricted Stock Awards</w:t>
            </w:r>
          </w:p>
        </w:tc>
        <w:tc>
          <w:tcPr>
            <w:tcW w:w="10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r>
      <w:tr>
        <w:trPr>
          <w:trHeight w:val="142"/>
        </w:trPr>
        <w:tc>
          <w:tcPr>
            <w:tcW w:w="4580" w:type="dxa"/>
            <w:vAlign w:val="bottom"/>
          </w:tcPr>
          <w:p>
            <w:pPr>
              <w:ind w:left="360"/>
              <w:spacing w:after="0"/>
              <w:rPr>
                <w:sz w:val="20"/>
                <w:szCs w:val="20"/>
                <w:color w:val="auto"/>
              </w:rPr>
            </w:pPr>
            <w:r>
              <w:rPr>
                <w:rFonts w:ascii="Arial" w:cs="Arial" w:eastAsia="Arial" w:hAnsi="Arial"/>
                <w:sz w:val="11"/>
                <w:szCs w:val="11"/>
                <w:color w:val="auto"/>
              </w:rPr>
              <w:t>Pre-tax compensation expense</w:t>
            </w:r>
          </w:p>
        </w:tc>
        <w:tc>
          <w:tcPr>
            <w:tcW w:w="1080" w:type="dxa"/>
            <w:vAlign w:val="bottom"/>
          </w:tcPr>
          <w:p>
            <w:pPr>
              <w:jc w:val="right"/>
              <w:ind w:right="9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1,919</w:t>
            </w:r>
          </w:p>
        </w:tc>
        <w:tc>
          <w:tcPr>
            <w:tcW w:w="100" w:type="dxa"/>
            <w:vAlign w:val="bottom"/>
          </w:tcPr>
          <w:p>
            <w:pPr>
              <w:spacing w:after="0"/>
              <w:rPr>
                <w:sz w:val="12"/>
                <w:szCs w:val="12"/>
                <w:color w:val="auto"/>
              </w:rPr>
            </w:pP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1,726</w:t>
            </w:r>
          </w:p>
        </w:tc>
        <w:tc>
          <w:tcPr>
            <w:tcW w:w="10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5,397</w:t>
            </w:r>
          </w:p>
        </w:tc>
        <w:tc>
          <w:tcPr>
            <w:tcW w:w="10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4,834</w:t>
            </w:r>
          </w:p>
        </w:tc>
      </w:t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6"/>
        </w:trPr>
        <w:tc>
          <w:tcPr>
            <w:tcW w:w="45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Income tax expense (benefit)</w:t>
            </w:r>
          </w:p>
        </w:tc>
        <w:tc>
          <w:tcPr>
            <w:tcW w:w="10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(706)</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(927)</w:t>
            </w:r>
          </w:p>
        </w:tc>
      </w:tr>
      <w:tr>
        <w:trPr>
          <w:trHeight w:val="162"/>
        </w:trPr>
        <w:tc>
          <w:tcPr>
            <w:tcW w:w="4580" w:type="dxa"/>
            <w:vAlign w:val="bottom"/>
          </w:tcPr>
          <w:p>
            <w:pPr>
              <w:ind w:left="20"/>
              <w:spacing w:after="0"/>
              <w:rPr>
                <w:sz w:val="20"/>
                <w:szCs w:val="20"/>
                <w:color w:val="auto"/>
              </w:rPr>
            </w:pPr>
            <w:r>
              <w:rPr>
                <w:rFonts w:ascii="Arial" w:cs="Arial" w:eastAsia="Arial" w:hAnsi="Arial"/>
                <w:sz w:val="11"/>
                <w:szCs w:val="11"/>
                <w:color w:val="auto"/>
              </w:rPr>
              <w:t>Restricted stock awards expense, net of income taxes</w:t>
            </w: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1,213</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4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1,434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3,897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3,907</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9"/>
        </w:trPr>
        <w:tc>
          <w:tcPr>
            <w:tcW w:w="4580" w:type="dxa"/>
            <w:vAlign w:val="bottom"/>
            <w:tcBorders>
              <w:bottom w:val="single" w:sz="8" w:color="CCEEFF"/>
            </w:tcBorders>
            <w:shd w:val="clear" w:color="auto" w:fill="CCEEFF"/>
          </w:tcPr>
          <w:p>
            <w:pPr>
              <w:ind w:left="20"/>
              <w:spacing w:after="0" w:line="109" w:lineRule="exact"/>
              <w:rPr>
                <w:sz w:val="20"/>
                <w:szCs w:val="20"/>
                <w:color w:val="auto"/>
              </w:rPr>
            </w:pPr>
            <w:r>
              <w:rPr>
                <w:rFonts w:ascii="Arial" w:cs="Arial" w:eastAsia="Arial" w:hAnsi="Arial"/>
                <w:sz w:val="11"/>
                <w:szCs w:val="11"/>
                <w:color w:val="auto"/>
              </w:rPr>
              <w:t>Total Share-Based Compensation</w:t>
            </w:r>
          </w:p>
        </w:tc>
        <w:tc>
          <w:tcPr>
            <w:tcW w:w="10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r>
      <w:tr>
        <w:trPr>
          <w:trHeight w:val="142"/>
        </w:trPr>
        <w:tc>
          <w:tcPr>
            <w:tcW w:w="4580" w:type="dxa"/>
            <w:vAlign w:val="bottom"/>
          </w:tcPr>
          <w:p>
            <w:pPr>
              <w:ind w:left="360"/>
              <w:spacing w:after="0"/>
              <w:rPr>
                <w:sz w:val="20"/>
                <w:szCs w:val="20"/>
                <w:color w:val="auto"/>
              </w:rPr>
            </w:pPr>
            <w:r>
              <w:rPr>
                <w:rFonts w:ascii="Arial" w:cs="Arial" w:eastAsia="Arial" w:hAnsi="Arial"/>
                <w:sz w:val="11"/>
                <w:szCs w:val="11"/>
                <w:color w:val="auto"/>
              </w:rPr>
              <w:t>Pre-tax compensation expense</w:t>
            </w:r>
          </w:p>
        </w:tc>
        <w:tc>
          <w:tcPr>
            <w:tcW w:w="1080" w:type="dxa"/>
            <w:vAlign w:val="bottom"/>
          </w:tcPr>
          <w:p>
            <w:pPr>
              <w:jc w:val="right"/>
              <w:ind w:right="97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1,964</w:t>
            </w:r>
          </w:p>
        </w:tc>
        <w:tc>
          <w:tcPr>
            <w:tcW w:w="100" w:type="dxa"/>
            <w:vAlign w:val="bottom"/>
          </w:tcPr>
          <w:p>
            <w:pPr>
              <w:spacing w:after="0"/>
              <w:rPr>
                <w:sz w:val="12"/>
                <w:szCs w:val="12"/>
                <w:color w:val="auto"/>
              </w:rPr>
            </w:pPr>
          </w:p>
        </w:tc>
        <w:tc>
          <w:tcPr>
            <w:tcW w:w="1080" w:type="dxa"/>
            <w:vAlign w:val="bottom"/>
          </w:tcPr>
          <w:p>
            <w:pPr>
              <w:jc w:val="right"/>
              <w:ind w:right="94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1,754</w:t>
            </w:r>
          </w:p>
        </w:tc>
        <w:tc>
          <w:tcPr>
            <w:tcW w:w="10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5,498</w:t>
            </w:r>
          </w:p>
        </w:tc>
        <w:tc>
          <w:tcPr>
            <w:tcW w:w="10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4,916</w:t>
            </w:r>
          </w:p>
        </w:tc>
      </w:tr>
      <w:tr>
        <w:trPr>
          <w:trHeight w:val="20"/>
        </w:trPr>
        <w:tc>
          <w:tcPr>
            <w:tcW w:w="4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6"/>
        </w:trPr>
        <w:tc>
          <w:tcPr>
            <w:tcW w:w="45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Income tax expense (benefit)</w:t>
            </w:r>
          </w:p>
        </w:tc>
        <w:tc>
          <w:tcPr>
            <w:tcW w:w="10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(706)</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(1,523)</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(942)</w:t>
            </w:r>
          </w:p>
        </w:tc>
      </w:tr>
      <w:tr>
        <w:trPr>
          <w:trHeight w:val="162"/>
        </w:trPr>
        <w:tc>
          <w:tcPr>
            <w:tcW w:w="4580" w:type="dxa"/>
            <w:vAlign w:val="bottom"/>
          </w:tcPr>
          <w:p>
            <w:pPr>
              <w:ind w:left="20"/>
              <w:spacing w:after="0"/>
              <w:rPr>
                <w:sz w:val="20"/>
                <w:szCs w:val="20"/>
                <w:color w:val="auto"/>
              </w:rPr>
            </w:pPr>
            <w:r>
              <w:rPr>
                <w:rFonts w:ascii="Arial" w:cs="Arial" w:eastAsia="Arial" w:hAnsi="Arial"/>
                <w:sz w:val="11"/>
                <w:szCs w:val="11"/>
                <w:color w:val="auto"/>
              </w:rPr>
              <w:t>Total share-based compensation expense, net of income taxes</w:t>
            </w: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1,258</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94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1,447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3,975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3,974</w:t>
            </w:r>
          </w:p>
        </w:tc>
      </w:tr>
      <w:tr>
        <w:trPr>
          <w:trHeight w:val="21"/>
        </w:trPr>
        <w:tc>
          <w:tcPr>
            <w:tcW w:w="4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right="360"/>
        <w:spacing w:after="0" w:line="283" w:lineRule="auto"/>
        <w:rPr>
          <w:sz w:val="20"/>
          <w:szCs w:val="20"/>
          <w:color w:val="auto"/>
        </w:rPr>
      </w:pPr>
      <w:r>
        <w:rPr>
          <w:rFonts w:ascii="Arial" w:cs="Arial" w:eastAsia="Arial" w:hAnsi="Arial"/>
          <w:sz w:val="14"/>
          <w:szCs w:val="14"/>
          <w:color w:val="auto"/>
        </w:rPr>
        <w:t>The grant date fair value of ESPP options was estimated to be approximately $45,000 at the beginning of the July 1, 2026 quarterly offering period. The ESPP shares were purchased and issued during the three months ended September 30, 2026, resulting in no unrecognized compensation expense related to ESPP options at September 30, 2026.</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Stock option activity under the Corporation's stock option plans as of September 30, 2026 and changes during the nine months ended September 30, 2026,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Weighted-Average</w:t>
            </w:r>
          </w:p>
        </w:tc>
        <w:tc>
          <w:tcPr>
            <w:tcW w:w="300" w:type="dxa"/>
            <w:vAlign w:val="bottom"/>
          </w:tcPr>
          <w:p>
            <w:pPr>
              <w:spacing w:after="0"/>
              <w:rPr>
                <w:sz w:val="10"/>
                <w:szCs w:val="10"/>
                <w:color w:val="auto"/>
              </w:rPr>
            </w:pPr>
          </w:p>
        </w:tc>
        <w:tc>
          <w:tcPr>
            <w:tcW w:w="1240" w:type="dxa"/>
            <w:vAlign w:val="bottom"/>
            <w:vMerge w:val="restart"/>
          </w:tcPr>
          <w:p>
            <w:pPr>
              <w:jc w:val="center"/>
              <w:ind w:right="246"/>
              <w:spacing w:after="0"/>
              <w:rPr>
                <w:sz w:val="20"/>
                <w:szCs w:val="20"/>
                <w:color w:val="auto"/>
              </w:rPr>
            </w:pPr>
            <w:r>
              <w:rPr>
                <w:rFonts w:ascii="Arial" w:cs="Arial" w:eastAsia="Arial" w:hAnsi="Arial"/>
                <w:sz w:val="11"/>
                <w:szCs w:val="11"/>
                <w:b w:val="1"/>
                <w:bCs w:val="1"/>
                <w:color w:val="auto"/>
                <w:w w:val="99"/>
              </w:rPr>
              <w:t>Aggregate</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060" w:type="dxa"/>
            <w:vAlign w:val="bottom"/>
            <w:vMerge w:val="restart"/>
          </w:tcPr>
          <w:p>
            <w:pPr>
              <w:jc w:val="center"/>
              <w:ind w:left="426"/>
              <w:spacing w:after="0"/>
              <w:rPr>
                <w:sz w:val="20"/>
                <w:szCs w:val="20"/>
                <w:color w:val="auto"/>
              </w:rPr>
            </w:pPr>
            <w:r>
              <w:rPr>
                <w:rFonts w:ascii="Arial" w:cs="Arial" w:eastAsia="Arial" w:hAnsi="Arial"/>
                <w:sz w:val="11"/>
                <w:szCs w:val="11"/>
                <w:b w:val="1"/>
                <w:bCs w:val="1"/>
                <w:color w:val="auto"/>
                <w:w w:val="98"/>
              </w:rPr>
              <w:t>Number of</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Weighted-Average Exercise</w:t>
            </w:r>
          </w:p>
        </w:tc>
        <w:tc>
          <w:tcPr>
            <w:tcW w:w="16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5"/>
              </w:rPr>
              <w:t>Remaining</w:t>
            </w:r>
          </w:p>
        </w:tc>
        <w:tc>
          <w:tcPr>
            <w:tcW w:w="3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6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Contractual Term</w:t>
            </w:r>
          </w:p>
        </w:tc>
        <w:tc>
          <w:tcPr>
            <w:tcW w:w="300" w:type="dxa"/>
            <w:vAlign w:val="bottom"/>
          </w:tcPr>
          <w:p>
            <w:pPr>
              <w:spacing w:after="0"/>
              <w:rPr>
                <w:sz w:val="9"/>
                <w:szCs w:val="9"/>
                <w:color w:val="auto"/>
              </w:rPr>
            </w:pPr>
          </w:p>
        </w:tc>
        <w:tc>
          <w:tcPr>
            <w:tcW w:w="1240" w:type="dxa"/>
            <w:vAlign w:val="bottom"/>
          </w:tcPr>
          <w:p>
            <w:pPr>
              <w:jc w:val="center"/>
              <w:ind w:right="246"/>
              <w:spacing w:after="0" w:line="108"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55"/>
        </w:trPr>
        <w:tc>
          <w:tcPr>
            <w:tcW w:w="48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ind w:left="406"/>
              <w:spacing w:after="0"/>
              <w:rPr>
                <w:sz w:val="20"/>
                <w:szCs w:val="20"/>
                <w:color w:val="auto"/>
              </w:rPr>
            </w:pPr>
            <w:r>
              <w:rPr>
                <w:rFonts w:ascii="Arial" w:cs="Arial" w:eastAsia="Arial" w:hAnsi="Arial"/>
                <w:sz w:val="11"/>
                <w:szCs w:val="11"/>
                <w:b w:val="1"/>
                <w:bCs w:val="1"/>
                <w:color w:val="auto"/>
                <w:w w:val="97"/>
              </w:rPr>
              <w:t>Shares</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Price</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(in Years)</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62"/>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Outstanding at January 1, 2026</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19,524</w:t>
            </w:r>
          </w:p>
        </w:tc>
        <w:tc>
          <w:tcPr>
            <w:tcW w:w="1140" w:type="dxa"/>
            <w:vAlign w:val="bottom"/>
            <w:gridSpan w:val="2"/>
            <w:shd w:val="clear" w:color="auto" w:fill="CCEEFF"/>
          </w:tcPr>
          <w:p>
            <w:pPr>
              <w:jc w:val="right"/>
              <w:ind w:right="90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23.86</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Exercised</w:t>
            </w:r>
          </w:p>
        </w:tc>
        <w:tc>
          <w:tcPr>
            <w:tcW w:w="10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(19,524)</w:t>
            </w:r>
          </w:p>
        </w:tc>
        <w:tc>
          <w:tcPr>
            <w:tcW w:w="1140" w:type="dxa"/>
            <w:vAlign w:val="bottom"/>
            <w:tcBorders>
              <w:bottom w:val="single" w:sz="8" w:color="CCEEFF"/>
            </w:tcBorders>
            <w:gridSpan w:val="2"/>
          </w:tcPr>
          <w:p>
            <w:pPr>
              <w:jc w:val="right"/>
              <w:ind w:right="90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23.86</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Outstanding at September 30, 2026</w:t>
            </w:r>
          </w:p>
        </w:tc>
        <w:tc>
          <w:tcPr>
            <w:tcW w:w="10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90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gridSpan w:val="2"/>
            <w:vMerge w:val="restart"/>
          </w:tcPr>
          <w:p>
            <w:pPr>
              <w:jc w:val="right"/>
              <w:ind w:right="906"/>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1"/>
                <w:szCs w:val="11"/>
                <w:color w:val="auto"/>
              </w:rPr>
              <w:t>0.00</w:t>
            </w:r>
          </w:p>
        </w:tc>
        <w:tc>
          <w:tcPr>
            <w:tcW w:w="100" w:type="dxa"/>
            <w:vAlign w:val="bottom"/>
          </w:tcPr>
          <w:p>
            <w:pPr>
              <w:spacing w:after="0" w:line="20" w:lineRule="exact"/>
              <w:rPr>
                <w:sz w:val="1"/>
                <w:szCs w:val="1"/>
                <w:color w:val="auto"/>
              </w:rPr>
            </w:pPr>
          </w:p>
        </w:tc>
        <w:tc>
          <w:tcPr>
            <w:tcW w:w="300" w:type="dxa"/>
            <w:vAlign w:val="bottom"/>
            <w:vMerge w:val="restart"/>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vMerge w:val="restart"/>
          </w:tcPr>
          <w:p>
            <w:pPr>
              <w:ind w:left="1080"/>
              <w:spacing w:after="0"/>
              <w:rPr>
                <w:sz w:val="20"/>
                <w:szCs w:val="20"/>
                <w:color w:val="auto"/>
              </w:rPr>
            </w:pPr>
            <w:r>
              <w:rPr>
                <w:rFonts w:ascii="Arial" w:cs="Arial" w:eastAsia="Arial" w:hAnsi="Arial"/>
                <w:sz w:val="11"/>
                <w:szCs w:val="11"/>
                <w:color w:val="auto"/>
              </w:rPr>
              <w:t>—</w:t>
            </w:r>
          </w:p>
        </w:tc>
        <w:tc>
          <w:tcPr>
            <w:tcW w:w="0" w:type="dxa"/>
            <w:vAlign w:val="bottom"/>
          </w:tcPr>
          <w:p>
            <w:pPr>
              <w:spacing w:after="0" w:line="20" w:lineRule="exact"/>
              <w:rPr>
                <w:sz w:val="1"/>
                <w:szCs w:val="1"/>
                <w:color w:val="auto"/>
              </w:rPr>
            </w:pPr>
          </w:p>
        </w:tc>
      </w:tr>
      <w:tr>
        <w:trPr>
          <w:trHeight w:val="126"/>
        </w:trPr>
        <w:tc>
          <w:tcPr>
            <w:tcW w:w="5880" w:type="dxa"/>
            <w:vAlign w:val="bottom"/>
            <w:gridSpan w:val="2"/>
          </w:tcPr>
          <w:p>
            <w:pPr>
              <w:ind w:left="360"/>
              <w:spacing w:after="0"/>
              <w:rPr>
                <w:sz w:val="20"/>
                <w:szCs w:val="20"/>
                <w:color w:val="auto"/>
              </w:rPr>
            </w:pPr>
            <w:r>
              <w:rPr>
                <w:rFonts w:ascii="Arial" w:cs="Arial" w:eastAsia="Arial" w:hAnsi="Arial"/>
                <w:sz w:val="11"/>
                <w:szCs w:val="11"/>
                <w:color w:val="auto"/>
              </w:rPr>
              <w:t>Vested and Expected to Vest at September 30, 2026</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88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Exercisable at September 30, 2026</w:t>
            </w:r>
          </w:p>
        </w:tc>
        <w:tc>
          <w:tcPr>
            <w:tcW w:w="4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906"/>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ind w:left="10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Cash receipts from stock options exercised during the nine months ended September 30, 2026 and 2025 were $465,000 and $330,000, respectively. The Corporation did not have any unrecognized compensation expense related to stock options and no options remain outstanding as of September 30, 2026.</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changes in unvested RSAs for the nine months ended September 30,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80" w:type="dxa"/>
            <w:vAlign w:val="bottom"/>
          </w:tcPr>
          <w:p>
            <w:pPr>
              <w:spacing w:after="0"/>
              <w:rPr>
                <w:sz w:val="10"/>
                <w:szCs w:val="10"/>
                <w:color w:val="auto"/>
              </w:rPr>
            </w:pPr>
          </w:p>
        </w:tc>
        <w:tc>
          <w:tcPr>
            <w:tcW w:w="152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jc w:val="right"/>
              <w:ind w:right="246"/>
              <w:spacing w:after="0"/>
              <w:rPr>
                <w:sz w:val="20"/>
                <w:szCs w:val="20"/>
                <w:color w:val="auto"/>
              </w:rPr>
            </w:pPr>
            <w:r>
              <w:rPr>
                <w:rFonts w:ascii="Arial" w:cs="Arial" w:eastAsia="Arial" w:hAnsi="Arial"/>
                <w:sz w:val="11"/>
                <w:szCs w:val="11"/>
                <w:b w:val="1"/>
                <w:bCs w:val="1"/>
                <w:color w:val="auto"/>
              </w:rPr>
              <w:t>Weighted-Average</w:t>
            </w:r>
          </w:p>
        </w:tc>
        <w:tc>
          <w:tcPr>
            <w:tcW w:w="0" w:type="dxa"/>
            <w:vAlign w:val="bottom"/>
          </w:tcPr>
          <w:p>
            <w:pPr>
              <w:spacing w:after="0"/>
              <w:rPr>
                <w:sz w:val="1"/>
                <w:szCs w:val="1"/>
                <w:color w:val="auto"/>
              </w:rPr>
            </w:pPr>
          </w:p>
        </w:tc>
      </w:tr>
      <w:tr>
        <w:trPr>
          <w:trHeight w:val="155"/>
        </w:trPr>
        <w:tc>
          <w:tcPr>
            <w:tcW w:w="80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Grant Date Fair Value</w:t>
            </w:r>
          </w:p>
        </w:tc>
        <w:tc>
          <w:tcPr>
            <w:tcW w:w="0" w:type="dxa"/>
            <w:vAlign w:val="bottom"/>
          </w:tcPr>
          <w:p>
            <w:pPr>
              <w:spacing w:after="0"/>
              <w:rPr>
                <w:sz w:val="1"/>
                <w:szCs w:val="1"/>
                <w:color w:val="auto"/>
              </w:rPr>
            </w:pPr>
          </w:p>
        </w:tc>
      </w:tr>
      <w:tr>
        <w:trPr>
          <w:trHeight w:val="142"/>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Unvested RSAs at January 1, 2026</w:t>
            </w:r>
          </w:p>
        </w:tc>
        <w:tc>
          <w:tcPr>
            <w:tcW w:w="1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641,117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36.08</w:t>
            </w:r>
          </w:p>
        </w:tc>
        <w:tc>
          <w:tcPr>
            <w:tcW w:w="0" w:type="dxa"/>
            <w:vAlign w:val="bottom"/>
          </w:tcPr>
          <w:p>
            <w:pPr>
              <w:spacing w:after="0"/>
              <w:rPr>
                <w:sz w:val="1"/>
                <w:szCs w:val="1"/>
                <w:color w:val="auto"/>
              </w:rPr>
            </w:pPr>
          </w:p>
        </w:tc>
      </w:tr>
      <w:tr>
        <w:trPr>
          <w:trHeight w:val="142"/>
        </w:trPr>
        <w:tc>
          <w:tcPr>
            <w:tcW w:w="8080" w:type="dxa"/>
            <w:vAlign w:val="bottom"/>
          </w:tcPr>
          <w:p>
            <w:pPr>
              <w:ind w:left="360"/>
              <w:spacing w:after="0"/>
              <w:rPr>
                <w:sz w:val="20"/>
                <w:szCs w:val="20"/>
                <w:color w:val="auto"/>
              </w:rPr>
            </w:pPr>
            <w:r>
              <w:rPr>
                <w:rFonts w:ascii="Arial" w:cs="Arial" w:eastAsia="Arial" w:hAnsi="Arial"/>
                <w:sz w:val="11"/>
                <w:szCs w:val="11"/>
                <w:color w:val="auto"/>
              </w:rPr>
              <w:t>Granted</w:t>
            </w:r>
          </w:p>
        </w:tc>
        <w:tc>
          <w:tcPr>
            <w:tcW w:w="1520" w:type="dxa"/>
            <w:vAlign w:val="bottom"/>
          </w:tcPr>
          <w:p>
            <w:pPr>
              <w:jc w:val="right"/>
              <w:ind w:right="6"/>
              <w:spacing w:after="0"/>
              <w:rPr>
                <w:sz w:val="20"/>
                <w:szCs w:val="20"/>
                <w:color w:val="auto"/>
              </w:rPr>
            </w:pPr>
            <w:r>
              <w:rPr>
                <w:rFonts w:ascii="Arial" w:cs="Arial" w:eastAsia="Arial" w:hAnsi="Arial"/>
                <w:sz w:val="11"/>
                <w:szCs w:val="11"/>
                <w:color w:val="auto"/>
              </w:rPr>
              <w:t>234,198</w:t>
            </w:r>
          </w:p>
        </w:tc>
        <w:tc>
          <w:tcPr>
            <w:tcW w:w="2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380" w:type="dxa"/>
            <w:vAlign w:val="bottom"/>
          </w:tcPr>
          <w:p>
            <w:pPr>
              <w:jc w:val="right"/>
              <w:ind w:right="6"/>
              <w:spacing w:after="0"/>
              <w:rPr>
                <w:sz w:val="20"/>
                <w:szCs w:val="20"/>
                <w:color w:val="auto"/>
              </w:rPr>
            </w:pPr>
            <w:r>
              <w:rPr>
                <w:rFonts w:ascii="Arial" w:cs="Arial" w:eastAsia="Arial" w:hAnsi="Arial"/>
                <w:sz w:val="11"/>
                <w:szCs w:val="11"/>
                <w:color w:val="auto"/>
              </w:rPr>
              <w:t>43.05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(213,584)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34.35</w:t>
            </w:r>
          </w:p>
        </w:tc>
        <w:tc>
          <w:tcPr>
            <w:tcW w:w="0" w:type="dxa"/>
            <w:vAlign w:val="bottom"/>
          </w:tcPr>
          <w:p>
            <w:pPr>
              <w:spacing w:after="0"/>
              <w:rPr>
                <w:sz w:val="1"/>
                <w:szCs w:val="1"/>
                <w:color w:val="auto"/>
              </w:rPr>
            </w:pPr>
          </w:p>
        </w:tc>
      </w:tr>
      <w:tr>
        <w:trPr>
          <w:trHeight w:val="155"/>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(11,750)</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tcPr>
          <w:p>
            <w:pPr>
              <w:jc w:val="right"/>
              <w:ind w:right="6"/>
              <w:spacing w:after="0"/>
              <w:rPr>
                <w:sz w:val="20"/>
                <w:szCs w:val="20"/>
                <w:color w:val="auto"/>
              </w:rPr>
            </w:pPr>
            <w:r>
              <w:rPr>
                <w:rFonts w:ascii="Arial" w:cs="Arial" w:eastAsia="Arial" w:hAnsi="Arial"/>
                <w:sz w:val="11"/>
                <w:szCs w:val="11"/>
                <w:color w:val="auto"/>
              </w:rPr>
              <w:t>38.11</w:t>
            </w:r>
          </w:p>
        </w:tc>
        <w:tc>
          <w:tcPr>
            <w:tcW w:w="0" w:type="dxa"/>
            <w:vAlign w:val="bottom"/>
          </w:tcPr>
          <w:p>
            <w:pPr>
              <w:spacing w:after="0"/>
              <w:rPr>
                <w:sz w:val="1"/>
                <w:szCs w:val="1"/>
                <w:color w:val="auto"/>
              </w:rPr>
            </w:pPr>
          </w:p>
        </w:tc>
      </w:tr>
      <w:tr>
        <w:trPr>
          <w:trHeight w:val="18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Unvested RSAs at September 30, 2026</w:t>
            </w:r>
          </w:p>
        </w:tc>
        <w:tc>
          <w:tcPr>
            <w:tcW w:w="15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649,981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39.13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color w:val="auto"/>
        </w:rPr>
        <w:t>As of September 30, 2026, unrecognized compensation expense related to RSAs was $15.7 million and is expected to be recognized over a weighted-average period of 1.9 years.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258" w:lineRule="exact"/>
        <w:rPr>
          <w:sz w:val="20"/>
          <w:szCs w:val="20"/>
          <w:color w:val="auto"/>
        </w:rPr>
      </w:pPr>
    </w:p>
    <w:p>
      <w:pPr>
        <w:ind w:right="280"/>
        <w:spacing w:after="0" w:line="305" w:lineRule="auto"/>
        <w:rPr>
          <w:sz w:val="20"/>
          <w:szCs w:val="20"/>
          <w:color w:val="auto"/>
        </w:rPr>
      </w:pPr>
      <w:r>
        <w:rPr>
          <w:rFonts w:ascii="Arial" w:cs="Arial" w:eastAsia="Arial" w:hAnsi="Arial"/>
          <w:sz w:val="14"/>
          <w:szCs w:val="14"/>
          <w:color w:val="auto"/>
        </w:rPr>
        <w:t>The following table reconciles income taxes computed at the federal statutory rate to the income tax expense and effective tax rate recorded in the Consolidated Condensed Statements of Income for the three and nine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7"/>
          </w:tcPr>
          <w:p>
            <w:pPr>
              <w:ind w:left="500"/>
              <w:spacing w:after="0"/>
              <w:rPr>
                <w:sz w:val="20"/>
                <w:szCs w:val="20"/>
                <w:color w:val="auto"/>
              </w:rPr>
            </w:pPr>
            <w:r>
              <w:rPr>
                <w:rFonts w:ascii="Arial" w:cs="Arial" w:eastAsia="Arial" w:hAnsi="Arial"/>
                <w:sz w:val="11"/>
                <w:szCs w:val="11"/>
                <w:b w:val="1"/>
                <w:bCs w:val="1"/>
                <w:color w:val="auto"/>
              </w:rPr>
              <w:t>Three Months Ended September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7"/>
          </w:tcPr>
          <w:p>
            <w:pPr>
              <w:jc w:val="right"/>
              <w:ind w:right="160"/>
              <w:spacing w:after="0"/>
              <w:rPr>
                <w:sz w:val="20"/>
                <w:szCs w:val="20"/>
                <w:color w:val="auto"/>
              </w:rPr>
            </w:pPr>
            <w:r>
              <w:rPr>
                <w:rFonts w:ascii="Arial" w:cs="Arial" w:eastAsia="Arial" w:hAnsi="Arial"/>
                <w:sz w:val="11"/>
                <w:szCs w:val="11"/>
                <w:b w:val="1"/>
                <w:bCs w:val="1"/>
                <w:color w:val="auto"/>
              </w:rPr>
              <w:t>Nine Months Ended September 30,</w:t>
            </w:r>
          </w:p>
        </w:tc>
        <w:tc>
          <w:tcPr>
            <w:tcW w:w="540" w:type="dxa"/>
            <w:vAlign w:val="bottom"/>
          </w:tcPr>
          <w:p>
            <w:pPr>
              <w:spacing w:after="0"/>
              <w:rPr>
                <w:sz w:val="12"/>
                <w:szCs w:val="12"/>
                <w:color w:val="auto"/>
              </w:rPr>
            </w:pPr>
          </w:p>
        </w:tc>
      </w:tr>
      <w:tr>
        <w:trPr>
          <w:trHeight w:val="169"/>
        </w:trPr>
        <w:tc>
          <w:tcPr>
            <w:tcW w:w="4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520"/>
              <w:spacing w:after="0"/>
              <w:rPr>
                <w:sz w:val="20"/>
                <w:szCs w:val="20"/>
                <w:color w:val="auto"/>
              </w:rPr>
            </w:pPr>
            <w:r>
              <w:rPr>
                <w:rFonts w:ascii="Arial" w:cs="Arial" w:eastAsia="Arial" w:hAnsi="Arial"/>
                <w:sz w:val="11"/>
                <w:szCs w:val="11"/>
                <w:b w:val="1"/>
                <w:bCs w:val="1"/>
                <w:color w:val="auto"/>
              </w:rPr>
              <w:t>2026</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2026</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4"/>
                <w:szCs w:val="14"/>
                <w:color w:val="auto"/>
              </w:rPr>
            </w:pPr>
          </w:p>
        </w:tc>
      </w:tr>
      <w:tr>
        <w:trPr>
          <w:trHeight w:val="176"/>
        </w:trPr>
        <w:tc>
          <w:tcPr>
            <w:tcW w:w="4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b w:val="1"/>
                <w:bCs w:val="1"/>
                <w:color w:val="auto"/>
              </w:rPr>
              <w:t>Amount</w:t>
            </w:r>
          </w:p>
        </w:tc>
        <w:tc>
          <w:tcPr>
            <w:tcW w:w="5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5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1"/>
                <w:szCs w:val="11"/>
                <w:b w:val="1"/>
                <w:bCs w:val="1"/>
                <w:color w:val="auto"/>
              </w:rPr>
              <w:t>Amount</w:t>
            </w:r>
          </w:p>
        </w:tc>
        <w:tc>
          <w:tcPr>
            <w:tcW w:w="5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w:t>
            </w:r>
          </w:p>
        </w:tc>
      </w:tr>
      <w:tr>
        <w:trPr>
          <w:trHeight w:val="156"/>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Income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79,519</w:t>
            </w:r>
          </w:p>
        </w:tc>
        <w:tc>
          <w:tcPr>
            <w:tcW w:w="2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65,281</w:t>
            </w:r>
          </w:p>
        </w:tc>
        <w:tc>
          <w:tcPr>
            <w:tcW w:w="2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154,356</w:t>
            </w:r>
          </w:p>
        </w:tc>
        <w:tc>
          <w:tcPr>
            <w:tcW w:w="2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193,616</w:t>
            </w:r>
          </w:p>
        </w:tc>
        <w:tc>
          <w:tcPr>
            <w:tcW w:w="2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135"/>
        </w:trPr>
        <w:tc>
          <w:tcPr>
            <w:tcW w:w="4900" w:type="dxa"/>
            <w:vAlign w:val="bottom"/>
          </w:tcPr>
          <w:p>
            <w:pPr>
              <w:ind w:left="360"/>
              <w:spacing w:after="0"/>
              <w:rPr>
                <w:sz w:val="20"/>
                <w:szCs w:val="20"/>
                <w:color w:val="auto"/>
              </w:rPr>
            </w:pPr>
            <w:r>
              <w:rPr>
                <w:rFonts w:ascii="Arial" w:cs="Arial" w:eastAsia="Arial" w:hAnsi="Arial"/>
                <w:sz w:val="11"/>
                <w:szCs w:val="11"/>
                <w:color w:val="auto"/>
              </w:rPr>
              <w:t>Federal statutory income tax at 21%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16,699</w:t>
            </w:r>
          </w:p>
        </w:tc>
        <w:tc>
          <w:tcPr>
            <w:tcW w:w="2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21.0 %</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13,709</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21.0 %</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32,415</w:t>
            </w:r>
          </w:p>
        </w:tc>
        <w:tc>
          <w:tcPr>
            <w:tcW w:w="2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21.0 %</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40,659</w:t>
            </w:r>
          </w:p>
        </w:tc>
        <w:tc>
          <w:tcPr>
            <w:tcW w:w="2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21.0 %</w:t>
            </w: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2"/>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State &amp; Local taxes, net of Federal income tax effect</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675</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314</w:t>
            </w:r>
          </w:p>
        </w:tc>
        <w:tc>
          <w:tcPr>
            <w:tcW w:w="2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0.5 %</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2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918</w:t>
            </w:r>
          </w:p>
        </w:tc>
        <w:tc>
          <w:tcPr>
            <w:tcW w:w="2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0.5 %</w:t>
            </w:r>
          </w:p>
        </w:tc>
      </w:tr>
      <w:tr>
        <w:trPr>
          <w:trHeight w:val="142"/>
        </w:trPr>
        <w:tc>
          <w:tcPr>
            <w:tcW w:w="4900" w:type="dxa"/>
            <w:vAlign w:val="bottom"/>
          </w:tcPr>
          <w:p>
            <w:pPr>
              <w:ind w:left="360"/>
              <w:spacing w:after="0"/>
              <w:rPr>
                <w:sz w:val="20"/>
                <w:szCs w:val="20"/>
                <w:color w:val="auto"/>
              </w:rPr>
            </w:pPr>
            <w:r>
              <w:rPr>
                <w:rFonts w:ascii="Arial" w:cs="Arial" w:eastAsia="Arial" w:hAnsi="Arial"/>
                <w:sz w:val="11"/>
                <w:szCs w:val="11"/>
                <w:color w:val="auto"/>
              </w:rPr>
              <w:t>Tax-exempt interest income</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(4,707)</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(4,640)</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(14,328)</w:t>
            </w: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(13,881)</w:t>
            </w: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w:t>
            </w: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2"/>
        </w:trPr>
        <w:tc>
          <w:tcPr>
            <w:tcW w:w="49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Non-deductible FDIC premiums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242</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171</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735</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462</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0.2 %</w:t>
            </w:r>
          </w:p>
        </w:tc>
      </w:tr>
      <w:tr>
        <w:trPr>
          <w:trHeight w:val="142"/>
        </w:trPr>
        <w:tc>
          <w:tcPr>
            <w:tcW w:w="4900" w:type="dxa"/>
            <w:vAlign w:val="bottom"/>
          </w:tcPr>
          <w:p>
            <w:pPr>
              <w:ind w:left="360"/>
              <w:spacing w:after="0"/>
              <w:rPr>
                <w:sz w:val="20"/>
                <w:szCs w:val="20"/>
                <w:color w:val="auto"/>
              </w:rPr>
            </w:pPr>
            <w:r>
              <w:rPr>
                <w:rFonts w:ascii="Arial" w:cs="Arial" w:eastAsia="Arial" w:hAnsi="Arial"/>
                <w:sz w:val="11"/>
                <w:szCs w:val="11"/>
                <w:color w:val="auto"/>
              </w:rPr>
              <w:t>Tax-exempt earnings and gains on life insurance</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(494)</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(350)</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(1,706)</w:t>
            </w: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(1,209)</w:t>
            </w: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(0.6)%</w:t>
            </w: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2"/>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Other non-taxable/non-deductible items</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322</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0.4 %</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145</w:t>
            </w:r>
          </w:p>
        </w:tc>
        <w:tc>
          <w:tcPr>
            <w:tcW w:w="2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0.2 %</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852</w:t>
            </w:r>
          </w:p>
        </w:tc>
        <w:tc>
          <w:tcPr>
            <w:tcW w:w="2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0.5 %</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381</w:t>
            </w:r>
          </w:p>
        </w:tc>
        <w:tc>
          <w:tcPr>
            <w:tcW w:w="2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0.1 %</w:t>
            </w:r>
          </w:p>
        </w:tc>
      </w:tr>
      <w:tr>
        <w:trPr>
          <w:trHeight w:val="142"/>
        </w:trPr>
        <w:tc>
          <w:tcPr>
            <w:tcW w:w="4900" w:type="dxa"/>
            <w:vAlign w:val="bottom"/>
          </w:tcPr>
          <w:p>
            <w:pPr>
              <w:ind w:left="360"/>
              <w:spacing w:after="0"/>
              <w:rPr>
                <w:sz w:val="20"/>
                <w:szCs w:val="20"/>
                <w:color w:val="auto"/>
              </w:rPr>
            </w:pPr>
            <w:r>
              <w:rPr>
                <w:rFonts w:ascii="Arial" w:cs="Arial" w:eastAsia="Arial" w:hAnsi="Arial"/>
                <w:sz w:val="11"/>
                <w:szCs w:val="11"/>
                <w:color w:val="auto"/>
              </w:rPr>
              <w:t>Tax credits</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(1,252)</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(952)</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(3,696)</w:t>
            </w: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(2,770)</w:t>
            </w: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5"/>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Other</w:t>
            </w: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119</w:t>
            </w:r>
          </w:p>
        </w:tc>
        <w:tc>
          <w:tcPr>
            <w:tcW w:w="2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(473)</w:t>
            </w: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120</w:t>
            </w: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0.1 %</w:t>
            </w:r>
          </w:p>
        </w:tc>
      </w:tr>
      <w:tr>
        <w:trPr>
          <w:trHeight w:val="162"/>
        </w:trPr>
        <w:tc>
          <w:tcPr>
            <w:tcW w:w="4900" w:type="dxa"/>
            <w:vAlign w:val="bottom"/>
          </w:tcPr>
          <w:p>
            <w:pPr>
              <w:ind w:left="480"/>
              <w:spacing w:after="0"/>
              <w:rPr>
                <w:sz w:val="20"/>
                <w:szCs w:val="20"/>
                <w:color w:val="auto"/>
              </w:rPr>
            </w:pPr>
            <w:r>
              <w:rPr>
                <w:rFonts w:ascii="Arial" w:cs="Arial" w:eastAsia="Arial" w:hAnsi="Arial"/>
                <w:sz w:val="11"/>
                <w:szCs w:val="11"/>
                <w:color w:val="auto"/>
              </w:rPr>
              <w:t>Income tax expense and effective tax 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11,204</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14.1 %</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8,516</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13.0 %</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13,905</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9.0 %</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24,680</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12.7 %</w:t>
            </w:r>
          </w:p>
        </w:tc>
      </w:tr>
      <w:tr>
        <w:trPr>
          <w:trHeight w:val="21"/>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PER COMMON SHARE</w:t>
      </w:r>
    </w:p>
    <w:p>
      <w:pPr>
        <w:spacing w:after="0" w:line="258"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Basic net income per common share is calculated by dividing net income available to common stockholders by the weighted-average number of common shares outstanding during the reporting period.</w:t>
      </w:r>
    </w:p>
    <w:p>
      <w:pPr>
        <w:spacing w:after="0" w:line="198" w:lineRule="exact"/>
        <w:rPr>
          <w:sz w:val="20"/>
          <w:szCs w:val="20"/>
          <w:color w:val="auto"/>
        </w:rPr>
      </w:pPr>
    </w:p>
    <w:p>
      <w:pPr>
        <w:jc w:val="both"/>
        <w:ind w:right="320"/>
        <w:spacing w:after="0" w:line="283" w:lineRule="auto"/>
        <w:rPr>
          <w:sz w:val="20"/>
          <w:szCs w:val="20"/>
          <w:color w:val="auto"/>
        </w:rPr>
      </w:pPr>
      <w:r>
        <w:rPr>
          <w:rFonts w:ascii="Arial" w:cs="Arial" w:eastAsia="Arial" w:hAnsi="Arial"/>
          <w:sz w:val="14"/>
          <w:szCs w:val="14"/>
          <w:color w:val="auto"/>
        </w:rPr>
        <w:t>Diluted net income per common share reflects the potential dilution that could occur if securities or other contracts to issue common stock were exercised or converted. It is computed by dividing net income available to common stockholders by the sum of the weighted-average common shares outstanding and the effect of all potentially dilutive common shares outstanding during the period.</w:t>
      </w:r>
    </w:p>
    <w:p>
      <w:pPr>
        <w:spacing w:after="0" w:line="200"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Potentially dilutive common shares include stock options and RSAs granted under the Corporation’s share-based compensation plans. These securities are included in the diluted earnings per share calculation only when their effect is dilutive. Securities that would increase earnings per share are considered anti-dilutive and are therefore excluded from the computation of diluted earnings per share for the applicable periods.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reconcile basic and diluted net income per common share for the three and nine months ended September 30, 2026 and 2025.</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1"/>
                <w:szCs w:val="11"/>
                <w:b w:val="1"/>
                <w:bCs w:val="1"/>
                <w:color w:val="auto"/>
                <w:w w:val="98"/>
              </w:rPr>
              <w:t>Three Months Ended September 30,</w:t>
            </w: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Net Income</w:t>
            </w: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Net Income</w:t>
            </w: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Available to</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Weighted-Average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Per Share</w:t>
            </w: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Available to</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Weighted-Average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Per Share</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rPr>
              <w:t>Common</w:t>
            </w: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rPr>
              <w:t>Common</w:t>
            </w: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Stockholders</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Common Shares</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Stockholders</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Common Shares</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available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67,847</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62,161,462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56,297</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57,186,148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1"/>
                <w:szCs w:val="11"/>
                <w:color w:val="auto"/>
              </w:rPr>
              <w:t>Effect of potentially dilutive stock options and restricted stock awards</w:t>
            </w: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6"/>
              <w:spacing w:after="0"/>
              <w:rPr>
                <w:sz w:val="20"/>
                <w:szCs w:val="20"/>
                <w:color w:val="auto"/>
              </w:rPr>
            </w:pPr>
            <w:r>
              <w:rPr>
                <w:rFonts w:ascii="Arial" w:cs="Arial" w:eastAsia="Arial" w:hAnsi="Arial"/>
                <w:sz w:val="11"/>
                <w:szCs w:val="11"/>
                <w:color w:val="auto"/>
              </w:rPr>
              <w:t>249,178</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1"/>
                <w:szCs w:val="11"/>
                <w:color w:val="auto"/>
              </w:rPr>
              <w:t>261,653</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70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Diluted net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67,847</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62,410,640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56,297</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57,447,801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700" w:type="dxa"/>
            <w:vAlign w:val="bottom"/>
          </w:tcPr>
          <w:p>
            <w:pPr>
              <w:ind w:left="220"/>
              <w:spacing w:after="0"/>
              <w:rPr>
                <w:sz w:val="20"/>
                <w:szCs w:val="20"/>
                <w:color w:val="auto"/>
              </w:rPr>
            </w:pPr>
            <w:r>
              <w:rPr>
                <w:rFonts w:ascii="Arial" w:cs="Arial" w:eastAsia="Arial" w:hAnsi="Arial"/>
                <w:sz w:val="11"/>
                <w:szCs w:val="11"/>
                <w:color w:val="auto"/>
              </w:rPr>
              <w:t>RSAs excluded from the diluted average common share calculation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51,737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61,861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5"/>
            <w:vMerge w:val="restart"/>
          </w:tcPr>
          <w:p>
            <w:pPr>
              <w:jc w:val="center"/>
              <w:ind w:right="300"/>
              <w:spacing w:after="0"/>
              <w:rPr>
                <w:sz w:val="20"/>
                <w:szCs w:val="20"/>
                <w:color w:val="auto"/>
              </w:rPr>
            </w:pPr>
            <w:r>
              <w:rPr>
                <w:rFonts w:ascii="Arial" w:cs="Arial" w:eastAsia="Arial" w:hAnsi="Arial"/>
                <w:sz w:val="11"/>
                <w:szCs w:val="11"/>
                <w:b w:val="1"/>
                <w:bCs w:val="1"/>
                <w:color w:val="auto"/>
                <w:w w:val="98"/>
              </w:rPr>
              <w:t>Nine Months Ended September 30,</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Net Income</w:t>
            </w: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rPr>
              <w:t>Net Income</w:t>
            </w: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Available to</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Weighted-Average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Per Share</w:t>
            </w: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Available to</w:t>
            </w:r>
          </w:p>
        </w:tc>
        <w:tc>
          <w:tcPr>
            <w:tcW w:w="10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Weighted-Average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Per Share</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rPr>
              <w:t>Common</w:t>
            </w: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rPr>
              <w:t>Common</w:t>
            </w: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Stockholders</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Common Shares</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7"/>
              </w:rPr>
              <w:t>Stockholders</w:t>
            </w: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Common Shares</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available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139,045</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61,731,803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167,530</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57,549,397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1"/>
                <w:szCs w:val="11"/>
                <w:color w:val="auto"/>
              </w:rPr>
              <w:t>Effect of potentially dilutive stock options and restricted stock awards</w:t>
            </w: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6"/>
              <w:spacing w:after="0"/>
              <w:rPr>
                <w:sz w:val="20"/>
                <w:szCs w:val="20"/>
                <w:color w:val="auto"/>
              </w:rPr>
            </w:pPr>
            <w:r>
              <w:rPr>
                <w:rFonts w:ascii="Arial" w:cs="Arial" w:eastAsia="Arial" w:hAnsi="Arial"/>
                <w:sz w:val="11"/>
                <w:szCs w:val="11"/>
                <w:color w:val="auto"/>
              </w:rPr>
              <w:t>271,239</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1"/>
                <w:szCs w:val="11"/>
                <w:color w:val="auto"/>
              </w:rPr>
              <w:t>267,994</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70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Diluted net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139,045</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62,003,042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167,530</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57,817,391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700" w:type="dxa"/>
            <w:vAlign w:val="bottom"/>
          </w:tcPr>
          <w:p>
            <w:pPr>
              <w:ind w:left="220"/>
              <w:spacing w:after="0"/>
              <w:rPr>
                <w:sz w:val="20"/>
                <w:szCs w:val="20"/>
                <w:color w:val="auto"/>
              </w:rPr>
            </w:pPr>
            <w:r>
              <w:rPr>
                <w:rFonts w:ascii="Arial" w:cs="Arial" w:eastAsia="Arial" w:hAnsi="Arial"/>
                <w:sz w:val="11"/>
                <w:szCs w:val="11"/>
                <w:color w:val="auto"/>
              </w:rPr>
              <w:t>RSAs excluded from the diluted average common share calculation</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88,313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56,523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ITEM 1. NOTES TO CONSOLIDATED CONDENSED FINANCIAL STATEMENTS</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25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 Corporation has one reportable segment, community banking. The Corporation’s reportable segment is determined by the Chief Executive Officer, who is the designated chief operating decision maker (“CODM”), based upon information provided about the Corporation’s products and services offered. The CODM evaluates the financial performance of the Corporation’s business components by evaluating revenue streams, significant expenses, and budget-to-actual results in assessing the Corporation’s segment. The Corporation generates revenue primarily by providing banking services to its customers. Interest expense, provisions for credit losses, and salaries and employee benefits are significant expenses in the Corporation's banking operations. The CODM evaluates performance, allocates resources and makes key operating decisions based on consolidated net income that is reported in the Consolidated Condensed Statements of Income. The measure of segment assets is reported on the Consolidated Condensed Balance Sheets as total consolidated assets. All operations are domestic.</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LITIGATION AND REGULATORY EXAMINATIONS</w:t>
      </w:r>
    </w:p>
    <w:p>
      <w:pPr>
        <w:spacing w:after="0" w:line="258"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Corporation is subject to claims and lawsuits that arise primarily in the ordinary course of business. Additionally, the Corporation is also subject to periodic examinations by various regulatory agencies. It is the general opinion of management that the disposition or ultimate resolution of any such routine litigation or regulatory examinations will not have a material adverse effect on the consolidated financial position, results of operations or cash flows of the Corporation.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2. MANAGEMENT’S DISCUSSION AND ANALYSIS OF FINANCIAL CONDITION AND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58"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From time to time, we include forward-looking statements in our oral and written communication. We may include forward-looking statements in filings with the Securities and Exchange Commission, such as this Quarterly Report on Form 10-Q, in other written materials and in oral statements made by senior management to analysts, investors, representatives of the media and others. We intend these forward-looking statements to be covered by the safe harbor provisions for forward-looking statements contained in the Private Securities Litigation Reform Act of 1995, and we are including this statement for purposes of these safe harbor provisions. Forward-looking statements can often be identified by the use of words like “believe”, “continue”, “pattern”, “estimate”, “project”, “intend”, “anticipate”, “expect” and similar expressions or future or conditional verbs such as “will”, “would”, “should”, “could”, “might”, “can”, “may”, or similar expressions. These forward-looking statements include:</w:t>
      </w:r>
    </w:p>
    <w:p>
      <w:pPr>
        <w:spacing w:after="0" w:line="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statements of the Corporation's goals, intentions and expectations;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statements regarding the Corporation's business plan and growth strategies;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statements regarding the asset quality of the Corporation's loan and investment portfolios; and</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estimates of the Corporation's risks and future costs and benefits.</w:t>
      </w:r>
    </w:p>
    <w:p>
      <w:pPr>
        <w:spacing w:after="0" w:line="244" w:lineRule="exact"/>
        <w:rPr>
          <w:sz w:val="20"/>
          <w:szCs w:val="20"/>
          <w:color w:val="auto"/>
        </w:rPr>
      </w:pPr>
    </w:p>
    <w:p>
      <w:pPr>
        <w:ind w:right="340"/>
        <w:spacing w:after="0" w:line="261" w:lineRule="auto"/>
        <w:rPr>
          <w:sz w:val="20"/>
          <w:szCs w:val="20"/>
          <w:color w:val="auto"/>
        </w:rPr>
      </w:pPr>
      <w:r>
        <w:rPr>
          <w:rFonts w:ascii="Arial" w:cs="Arial" w:eastAsia="Arial" w:hAnsi="Arial"/>
          <w:sz w:val="14"/>
          <w:szCs w:val="14"/>
          <w:color w:val="auto"/>
        </w:rPr>
        <w:t>These forward-looking statements are subject to significant risks, assumptions and uncertainties, including, among other things, the following important factors which could affect the actual outcome of future events:</w:t>
      </w:r>
    </w:p>
    <w:p>
      <w:pPr>
        <w:spacing w:after="0" w:line="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fluctuations in market rates of interest and loan and deposit pricing, which could negatively affect our net interest margin, asset valuations and expense expectations;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adverse changes in the economy, which might affect our business prospects and could cause credit-related losses and expenses;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impacts of epidemics, pandemics or other infectious disease outbreaks;</w:t>
      </w:r>
    </w:p>
    <w:p>
      <w:pPr>
        <w:spacing w:after="0" w:line="14" w:lineRule="exact"/>
        <w:rPr>
          <w:rFonts w:ascii="Arial" w:cs="Arial" w:eastAsia="Arial" w:hAnsi="Arial"/>
          <w:sz w:val="14"/>
          <w:szCs w:val="14"/>
          <w:color w:val="auto"/>
        </w:rPr>
      </w:pPr>
    </w:p>
    <w:p>
      <w:pPr>
        <w:ind w:left="660" w:right="60" w:hanging="328"/>
        <w:spacing w:after="0" w:line="251" w:lineRule="auto"/>
        <w:tabs>
          <w:tab w:leader="none" w:pos="6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impacts related to or resulting from recent bank failures or adverse developments at other banks on general investor sentiment regarding the stability and liquidity of banks;</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adverse developments in our loan and investment portfolios;</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competitive factors in the banking industry, such as the trend towards consolidation in our market;</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the banking legislation or the regulatory requirements of federal and state agencies applicable to bank holding companies and banks like our affiliate bank;</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acquisitions of other businesses by us and integration of such acquired businesses;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market, economic, operational, liquidity, credit and interest rate risks associated with our business; and</w:t>
      </w:r>
    </w:p>
    <w:p>
      <w:pPr>
        <w:spacing w:after="0" w:line="14"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continued availability of earnings and excess capital sufficient for the lawful and prudent declaration and payment of cash dividends.</w:t>
      </w:r>
    </w:p>
    <w:p>
      <w:pPr>
        <w:spacing w:after="0" w:line="244"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Because of these and other uncertainties, our actual future results may be materially different from the results indicated by these forward-looking statements. In addition, our past results of operations do not necessarily indicate our anticipated future results.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SUMMARY</w:t>
      </w:r>
    </w:p>
    <w:p>
      <w:pPr>
        <w:spacing w:after="0" w:line="244"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auto"/>
        </w:rPr>
        <w:t>First Merchants Corporation (the “Corporation”) is a financial holding company headquartered in Muncie, Indiana and was organized in September 1982. The Corporation’s common stock is traded on the Nasdaq Global Select Market under the symbol FRME. The Corporation conducts its banking operations through First Merchants Bank (the “Bank”), a wholly-owned subsidiary that opened for business in Muncie, Indiana in March 1893. The Bank also operates First Merchants Private Wealth Advisors (a division of First Merchants Bank). The Bank operates 126 banking locations in Indiana, Ohio, and Michigan. In addition to its branch network, the Corporation offers comprehensive electronic and mobile delivery channels to its customers. The Corporation’s business activities are currently limited to one reportable business segment, which is community banking.</w:t>
      </w:r>
    </w:p>
    <w:p>
      <w:pPr>
        <w:spacing w:after="0" w:line="212"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Through the Bank, the Corporation offers a broad range of commercial and consumer banking services to meet the diverse needs of its customers. Our commercial banking team offers a full spectrum of debt capital, treasury management services, and depository products. The consumer banking group offers a variety of consumer deposit and lending products. The mortgage banking team offers consumer mortgage solutions to assist with the purchase, refinance, construction or renovation of residential properties. Private Wealth Advisors offers personal wealth management services with expertise in investment management, private banking, fiduciary services, estate planning and financial planning.</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Acquisitions</w:t>
      </w:r>
    </w:p>
    <w:p>
      <w:pPr>
        <w:spacing w:after="0" w:line="256" w:lineRule="exact"/>
        <w:rPr>
          <w:sz w:val="20"/>
          <w:szCs w:val="20"/>
          <w:color w:val="auto"/>
        </w:rPr>
      </w:pPr>
    </w:p>
    <w:p>
      <w:pPr>
        <w:jc w:val="both"/>
        <w:ind w:right="140"/>
        <w:spacing w:after="0" w:line="273" w:lineRule="auto"/>
        <w:rPr>
          <w:sz w:val="20"/>
          <w:szCs w:val="20"/>
          <w:color w:val="auto"/>
        </w:rPr>
      </w:pPr>
      <w:r>
        <w:rPr>
          <w:rFonts w:ascii="Arial" w:cs="Arial" w:eastAsia="Arial" w:hAnsi="Arial"/>
          <w:sz w:val="14"/>
          <w:szCs w:val="14"/>
          <w:color w:val="auto"/>
        </w:rPr>
        <w:t>On February 1, 2026, the Corporation completed the acquisition of First Savings Financial Group, Inc., an Indiana corporation, pursuant to the Agreement and Plan of Merger, dated as of September 24, 2025, by and between the Corporation and First Savings. Immediately following the Merger, First Savings Bank, a wholly-owned subsidiary of First Savings, merged with and into the Bank with the Bank surviving the merger and continuing its corporate existence.</w:t>
      </w:r>
    </w:p>
    <w:p>
      <w:pPr>
        <w:spacing w:after="0" w:line="207"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First Savings was headquartered in Jeffersonville, Indiana and had 16 banking centers serving the southern Indiana market. The Corporation engaged in this transaction with the objective that the transaction would be accretive to earnings and add to the existing market area in Indiana that has a demographic profile consistent with many of the current Midwest markets served by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The Corporation acquired total assets of $2.4 billion, total loans of $1.8 billion, and total deposits of $1.7 billion. The total purchase price of approximately $243.2 million consisted primarily of equity consideration issued by the Corporation and was measured at fair value based on the Corporation’s common stock price as of the acquisition date. The purchase price also included cash paid in lieu of fractional shares. The purchase price represented the fair value of consideration transferred in accordance with ASC 805. Immediately following the acquisition of First Savings, the Corporation sold substantially all of the acquired investment securities portfolio. The sale was executed as part of the Corporation’s balance sheet repositioning strategy, with the resulting liquidity used to pay down wholesale funding following the acquisition.</w:t>
      </w:r>
    </w:p>
    <w:p>
      <w:pPr>
        <w:spacing w:after="0" w:line="211" w:lineRule="exact"/>
        <w:rPr>
          <w:sz w:val="20"/>
          <w:szCs w:val="20"/>
          <w:color w:val="auto"/>
        </w:rPr>
      </w:pPr>
    </w:p>
    <w:p>
      <w:pPr>
        <w:ind w:right="280"/>
        <w:spacing w:after="0" w:line="305" w:lineRule="auto"/>
        <w:rPr>
          <w:sz w:val="20"/>
          <w:szCs w:val="20"/>
          <w:color w:val="auto"/>
        </w:rPr>
      </w:pPr>
      <w:r>
        <w:rPr>
          <w:rFonts w:ascii="Arial" w:cs="Arial" w:eastAsia="Arial" w:hAnsi="Arial"/>
          <w:sz w:val="14"/>
          <w:szCs w:val="14"/>
          <w:color w:val="auto"/>
        </w:rPr>
        <w:t>For additional information regarding the acquisition, see NOTE 2. ACQUISITIONS of the Notes to Consolidated Condensed Financial Statements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U.S. Generally Accepted Accounting Principles ("GAAP") are complex and require us to apply significant judgment in the application of accounting, reporting, and disclosure requirements. Management uses estimates and assumptions where actual amounts are not reasonably available, including assumptions based on historical experience and other factors management believes to be reasonable under the circumstances. Because of this inherent uncertainty in these estimates and assumptions, actual results could differ from those estimates, and such differences could be material to the financial condition and results of operations.</w:t>
      </w:r>
    </w:p>
    <w:p>
      <w:pPr>
        <w:spacing w:after="0" w:line="204" w:lineRule="exact"/>
        <w:rPr>
          <w:sz w:val="20"/>
          <w:szCs w:val="20"/>
          <w:color w:val="auto"/>
        </w:rPr>
      </w:pPr>
    </w:p>
    <w:p>
      <w:pPr>
        <w:ind w:right="360"/>
        <w:spacing w:after="0" w:line="267" w:lineRule="auto"/>
        <w:rPr>
          <w:sz w:val="20"/>
          <w:szCs w:val="20"/>
          <w:color w:val="auto"/>
        </w:rPr>
      </w:pPr>
      <w:r>
        <w:rPr>
          <w:rFonts w:ascii="Arial" w:cs="Arial" w:eastAsia="Arial" w:hAnsi="Arial"/>
          <w:sz w:val="14"/>
          <w:szCs w:val="14"/>
          <w:color w:val="auto"/>
        </w:rPr>
        <w:t>There have been no significant changes during the nine months ended September 30, 2026 to the items disclosed as our critical accounting policies and estimates in Management's Discussion and Analysis of Financial Condition and Results of Operations in our Annual Report on Form 10-K for the year ended December 31, 2025. For a complete discussion of our significant accounting policies, see “Notes to the Consolidated Financial Statements” in our Annual Report on Form 10-K for the year ended December 31, 2025. However, due to the First Savings acquisition on February 1, 2026, the Corporation has expanded its discussion below of accounting practices and valuation methodologies related to business combinations, which involve significant judgment and estimation uncertainty.</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Business Combinations</w:t>
      </w:r>
    </w:p>
    <w:p>
      <w:pPr>
        <w:spacing w:after="0" w:line="244" w:lineRule="exact"/>
        <w:rPr>
          <w:sz w:val="20"/>
          <w:szCs w:val="20"/>
          <w:color w:val="auto"/>
        </w:rPr>
      </w:pPr>
    </w:p>
    <w:p>
      <w:pPr>
        <w:ind w:right="420"/>
        <w:spacing w:after="0" w:line="276" w:lineRule="auto"/>
        <w:rPr>
          <w:sz w:val="20"/>
          <w:szCs w:val="20"/>
          <w:color w:val="auto"/>
        </w:rPr>
      </w:pPr>
      <w:r>
        <w:rPr>
          <w:rFonts w:ascii="Arial" w:cs="Arial" w:eastAsia="Arial" w:hAnsi="Arial"/>
          <w:sz w:val="14"/>
          <w:szCs w:val="14"/>
          <w:color w:val="auto"/>
        </w:rPr>
        <w:t>Business combinations are accounted for under the acquisition method of accounting. Under this method, the acquired assets and liabilities assumed are recorded at their estimated fair values as of the acquisition date, with the excess of the purchase price over the estimated fair value of the net assets acquired recorded as goodwill. The Corporation uses significant estimates and assumptions to value such items, including projected cash flows, prepayment rates, default rates and losses assuming default, discount rates and realizable collateral values.</w:t>
      </w:r>
    </w:p>
    <w:p>
      <w:pPr>
        <w:spacing w:after="0" w:line="173" w:lineRule="exact"/>
        <w:rPr>
          <w:sz w:val="20"/>
          <w:szCs w:val="20"/>
          <w:color w:val="auto"/>
        </w:rPr>
      </w:pPr>
    </w:p>
    <w:p>
      <w:pPr>
        <w:ind w:right="20"/>
        <w:spacing w:after="0" w:line="178" w:lineRule="exact"/>
        <w:rPr>
          <w:sz w:val="20"/>
          <w:szCs w:val="20"/>
          <w:color w:val="auto"/>
        </w:rPr>
      </w:pPr>
      <w:r>
        <w:rPr>
          <w:rFonts w:ascii="Arial" w:cs="Arial" w:eastAsia="Arial" w:hAnsi="Arial"/>
          <w:sz w:val="14"/>
          <w:szCs w:val="14"/>
          <w:color w:val="auto"/>
        </w:rPr>
        <w:t>In connection with the acquisition, and consistent with the guidance in ASU 2025</w:t>
      </w:r>
      <w:r>
        <w:rPr>
          <w:rFonts w:ascii="MS PGothic" w:cs="MS PGothic" w:eastAsia="MS PGothic" w:hAnsi="MS PGothic"/>
          <w:sz w:val="14"/>
          <w:szCs w:val="14"/>
          <w:color w:val="auto"/>
        </w:rPr>
        <w:t>‑</w:t>
      </w:r>
      <w:r>
        <w:rPr>
          <w:rFonts w:ascii="Arial" w:cs="Arial" w:eastAsia="Arial" w:hAnsi="Arial"/>
          <w:sz w:val="14"/>
          <w:szCs w:val="14"/>
          <w:color w:val="auto"/>
        </w:rPr>
        <w:t>08, loans acquired through business combinations that meet the definition of PSL are recorded using the gross-up method. PCD loans continue to be accounted for under existing PCD guidance, which also applies the gross</w:t>
      </w:r>
      <w:r>
        <w:rPr>
          <w:rFonts w:ascii="MS PGothic" w:cs="MS PGothic" w:eastAsia="MS PGothic" w:hAnsi="MS PGothic"/>
          <w:sz w:val="14"/>
          <w:szCs w:val="14"/>
          <w:color w:val="auto"/>
        </w:rPr>
        <w:t>‑</w:t>
      </w:r>
      <w:r>
        <w:rPr>
          <w:rFonts w:ascii="Arial" w:cs="Arial" w:eastAsia="Arial" w:hAnsi="Arial"/>
          <w:sz w:val="14"/>
          <w:szCs w:val="14"/>
          <w:color w:val="auto"/>
        </w:rPr>
        <w:t>up method; however, PCD loans represent loans that experienced more</w:t>
      </w:r>
      <w:r>
        <w:rPr>
          <w:rFonts w:ascii="MS PGothic" w:cs="MS PGothic" w:eastAsia="MS PGothic" w:hAnsi="MS PGothic"/>
          <w:sz w:val="14"/>
          <w:szCs w:val="14"/>
          <w:color w:val="auto"/>
        </w:rPr>
        <w:t>‑</w:t>
      </w:r>
      <w:r>
        <w:rPr>
          <w:rFonts w:ascii="Arial" w:cs="Arial" w:eastAsia="Arial" w:hAnsi="Arial"/>
          <w:sz w:val="14"/>
          <w:szCs w:val="14"/>
          <w:color w:val="auto"/>
        </w:rPr>
        <w:t>than</w:t>
      </w:r>
      <w:r>
        <w:rPr>
          <w:rFonts w:ascii="MS PGothic" w:cs="MS PGothic" w:eastAsia="MS PGothic" w:hAnsi="MS PGothic"/>
          <w:sz w:val="14"/>
          <w:szCs w:val="14"/>
          <w:color w:val="auto"/>
        </w:rPr>
        <w:t>‑</w:t>
      </w:r>
      <w:r>
        <w:rPr>
          <w:rFonts w:ascii="Arial" w:cs="Arial" w:eastAsia="Arial" w:hAnsi="Arial"/>
          <w:sz w:val="14"/>
          <w:szCs w:val="14"/>
          <w:color w:val="auto"/>
        </w:rPr>
        <w:t>insignificant credit deterioration since origination, while PSLs did not. Under this method, the Corporation recognizes an allowance for credit losses on loans at the acquisition date, with a corresponding increase to the loans' amortized cost basis. The establishment of the ACL - Loans at acquisition did not result in a provision for credit losses or an earnings impact on the acquisition date. Expected credit losses as of the acquisition date are recognized through the acquisition</w:t>
      </w:r>
      <w:r>
        <w:rPr>
          <w:rFonts w:ascii="MS PGothic" w:cs="MS PGothic" w:eastAsia="MS PGothic" w:hAnsi="MS PGothic"/>
          <w:sz w:val="14"/>
          <w:szCs w:val="14"/>
          <w:color w:val="auto"/>
        </w:rPr>
        <w:t>‑</w:t>
      </w:r>
      <w:r>
        <w:rPr>
          <w:rFonts w:ascii="Arial" w:cs="Arial" w:eastAsia="Arial" w:hAnsi="Arial"/>
          <w:sz w:val="14"/>
          <w:szCs w:val="14"/>
          <w:color w:val="auto"/>
        </w:rPr>
        <w:t>date allowance for credit losses, while the non</w:t>
      </w:r>
      <w:r>
        <w:rPr>
          <w:rFonts w:ascii="MS PGothic" w:cs="MS PGothic" w:eastAsia="MS PGothic" w:hAnsi="MS PGothic"/>
          <w:sz w:val="14"/>
          <w:szCs w:val="14"/>
          <w:color w:val="auto"/>
        </w:rPr>
        <w:t>‑</w:t>
      </w:r>
      <w:r>
        <w:rPr>
          <w:rFonts w:ascii="Arial" w:cs="Arial" w:eastAsia="Arial" w:hAnsi="Arial"/>
          <w:sz w:val="14"/>
          <w:szCs w:val="14"/>
          <w:color w:val="auto"/>
        </w:rPr>
        <w:t>credit discount reflects all other valuation factors, including differences between contractual interest rates and prevailing market rates, liquidity considerations, and other non</w:t>
      </w:r>
      <w:r>
        <w:rPr>
          <w:rFonts w:ascii="MS PGothic" w:cs="MS PGothic" w:eastAsia="MS PGothic" w:hAnsi="MS PGothic"/>
          <w:sz w:val="14"/>
          <w:szCs w:val="14"/>
          <w:color w:val="auto"/>
        </w:rPr>
        <w:t>‑</w:t>
      </w:r>
      <w:r>
        <w:rPr>
          <w:rFonts w:ascii="Arial" w:cs="Arial" w:eastAsia="Arial" w:hAnsi="Arial"/>
          <w:sz w:val="14"/>
          <w:szCs w:val="14"/>
          <w:color w:val="auto"/>
        </w:rPr>
        <w:t xml:space="preserve"> credit</w:t>
      </w:r>
      <w:r>
        <w:rPr>
          <w:rFonts w:ascii="MS PGothic" w:cs="MS PGothic" w:eastAsia="MS PGothic" w:hAnsi="MS PGothic"/>
          <w:sz w:val="14"/>
          <w:szCs w:val="14"/>
          <w:color w:val="auto"/>
        </w:rPr>
        <w:t>‑</w:t>
      </w:r>
      <w:r>
        <w:rPr>
          <w:rFonts w:ascii="Arial" w:cs="Arial" w:eastAsia="Arial" w:hAnsi="Arial"/>
          <w:sz w:val="14"/>
          <w:szCs w:val="14"/>
          <w:color w:val="auto"/>
        </w:rPr>
        <w:t>related assumptions. The non</w:t>
      </w:r>
      <w:r>
        <w:rPr>
          <w:rFonts w:ascii="MS PGothic" w:cs="MS PGothic" w:eastAsia="MS PGothic" w:hAnsi="MS PGothic"/>
          <w:sz w:val="14"/>
          <w:szCs w:val="14"/>
          <w:color w:val="auto"/>
        </w:rPr>
        <w:t>‑</w:t>
      </w:r>
      <w:r>
        <w:rPr>
          <w:rFonts w:ascii="Arial" w:cs="Arial" w:eastAsia="Arial" w:hAnsi="Arial"/>
          <w:sz w:val="14"/>
          <w:szCs w:val="14"/>
          <w:color w:val="auto"/>
        </w:rPr>
        <w:t>credit discount is accreted into interest income over the remaining life of the loans using the effective interest method. Subsequent changes in expected credit losses for PSLs are recognized through the provision for credit losses in the period in which the estimate changes, consistent with the Corporation's methodology for originated loans measured at amortized cost.</w:t>
      </w:r>
    </w:p>
    <w:p>
      <w:pPr>
        <w:spacing w:after="0" w:line="233"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The acquisition date valuations, as well as any measurement period adjustments recognized subsequent to the acquisition date, determine the amount of goodwill recorded. Measurement period adjustments are recorded if new information is obtained about facts and circumstances that existed as of the acquisition date and are reflected as adjustments to goodwill. Because these adjustments affect the fair values of acquired assets and liabilities, including loans and identifiable intangible assets, changes in these estimates could materially affect the amount of goodwill recorded. There were no measurement period adjustments recognized during the three and nine months ended September 30, 2026.</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The fair value determinations are based on valuation methodologies that incorporate management's assumptions regarding future growth rates, attrition, discount rates, and other relevant factors. In certain circumstances, third party valuation specialists are engaged to assist in the development of these fair value estimates. The valuation of acquired assets and assumed liabilities often requires a significant degree of judgment, particularly when observable market data is limited or unavailable. Changes in these estimates or in economic or market conditions could require adjustments to the carrying values of acquired assets and liabilities, including the recognition of impairment where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Results of operations of First Savings are included in the income statement from the date of acquisition. Details of the Corporation's acquisitions are included in NOTE 2.</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ACQUISITIONS of the Notes to Consolidated Condensed Financial Statements of this Quarterly Report on Form 10-Q.</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HIGHLIGHTS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includes certain financial data of the Corporation for the five most recent quarters: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Three Months Ended</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8"/>
        </w:trPr>
        <w:tc>
          <w:tcPr>
            <w:tcW w:w="4120" w:type="dxa"/>
            <w:vAlign w:val="bottom"/>
          </w:tcPr>
          <w:p>
            <w:pPr>
              <w:ind w:left="20"/>
              <w:spacing w:after="0"/>
              <w:rPr>
                <w:sz w:val="20"/>
                <w:szCs w:val="20"/>
                <w:color w:val="auto"/>
              </w:rPr>
            </w:pPr>
            <w:r>
              <w:rPr>
                <w:rFonts w:ascii="Arial" w:cs="Arial" w:eastAsia="Arial" w:hAnsi="Arial"/>
                <w:sz w:val="11"/>
                <w:szCs w:val="11"/>
                <w:color w:val="auto"/>
              </w:rPr>
              <w:t>(Dollars in Thousands, Except Per Share Amounts)</w:t>
            </w:r>
          </w:p>
        </w:tc>
        <w:tc>
          <w:tcPr>
            <w:tcW w:w="18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60" w:type="dxa"/>
            <w:vAlign w:val="bottom"/>
          </w:tcPr>
          <w:p>
            <w:pPr>
              <w:spacing w:after="0"/>
              <w:rPr>
                <w:sz w:val="12"/>
                <w:szCs w:val="12"/>
                <w:color w:val="auto"/>
              </w:rPr>
            </w:pPr>
          </w:p>
        </w:tc>
        <w:tc>
          <w:tcPr>
            <w:tcW w:w="118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March 31,</w:t>
            </w:r>
          </w:p>
        </w:tc>
        <w:tc>
          <w:tcPr>
            <w:tcW w:w="200" w:type="dxa"/>
            <w:vAlign w:val="bottom"/>
          </w:tcPr>
          <w:p>
            <w:pPr>
              <w:spacing w:after="0"/>
              <w:rPr>
                <w:sz w:val="12"/>
                <w:szCs w:val="12"/>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w:t>
            </w:r>
          </w:p>
        </w:tc>
        <w:tc>
          <w:tcPr>
            <w:tcW w:w="200" w:type="dxa"/>
            <w:vAlign w:val="bottom"/>
          </w:tcPr>
          <w:p>
            <w:pPr>
              <w:spacing w:after="0"/>
              <w:rPr>
                <w:sz w:val="12"/>
                <w:szCs w:val="12"/>
                <w:color w:val="auto"/>
              </w:rPr>
            </w:pPr>
          </w:p>
        </w:tc>
        <w:tc>
          <w:tcPr>
            <w:tcW w:w="1160" w:type="dxa"/>
            <w:vAlign w:val="bottom"/>
          </w:tcPr>
          <w:p>
            <w:pPr>
              <w:jc w:val="right"/>
              <w:ind w:right="246"/>
              <w:spacing w:after="0"/>
              <w:rPr>
                <w:sz w:val="20"/>
                <w:szCs w:val="20"/>
                <w:color w:val="auto"/>
              </w:rPr>
            </w:pPr>
            <w:r>
              <w:rPr>
                <w:rFonts w:ascii="Arial" w:cs="Arial" w:eastAsia="Arial" w:hAnsi="Arial"/>
                <w:sz w:val="11"/>
                <w:szCs w:val="11"/>
                <w:b w:val="1"/>
                <w:bCs w:val="1"/>
                <w:color w:val="auto"/>
              </w:rPr>
              <w:t>September 30,</w:t>
            </w:r>
          </w:p>
        </w:tc>
      </w:tr>
      <w:tr>
        <w:trPr>
          <w:trHeight w:val="170"/>
        </w:trPr>
        <w:tc>
          <w:tcPr>
            <w:tcW w:w="4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97"/>
              </w:rPr>
              <w:t>2026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2025</w:t>
            </w:r>
          </w:p>
        </w:tc>
      </w:tr>
      <w:tr>
        <w:trPr>
          <w:trHeight w:val="148"/>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Statement:</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52"/>
        </w:trPr>
        <w:tc>
          <w:tcPr>
            <w:tcW w:w="4120" w:type="dxa"/>
            <w:vAlign w:val="bottom"/>
          </w:tcPr>
          <w:p>
            <w:pPr>
              <w:ind w:left="20"/>
              <w:spacing w:after="0"/>
              <w:rPr>
                <w:sz w:val="20"/>
                <w:szCs w:val="20"/>
                <w:color w:val="auto"/>
              </w:rPr>
            </w:pPr>
            <w:r>
              <w:rPr>
                <w:rFonts w:ascii="Arial" w:cs="Arial" w:eastAsia="Arial" w:hAnsi="Arial"/>
                <w:sz w:val="11"/>
                <w:szCs w:val="11"/>
                <w:color w:val="auto"/>
              </w:rPr>
              <w:t>Net interest income</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161,068</w:t>
            </w:r>
          </w:p>
        </w:tc>
        <w:tc>
          <w:tcPr>
            <w:tcW w:w="12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158,941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151,303</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139,064</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133,665</w:t>
            </w:r>
          </w:p>
        </w:tc>
      </w:tr>
      <w:tr>
        <w:trPr>
          <w:trHeight w:val="15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Provision for credit losses</w:t>
            </w: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3,300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33,000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4,900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7,150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4,300</w:t>
            </w: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Noninterest income</w:t>
            </w:r>
          </w:p>
        </w:tc>
        <w:tc>
          <w:tcPr>
            <w:tcW w:w="1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38,005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37,156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5,829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33,106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32,477</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Noninterest expense</w:t>
            </w:r>
          </w:p>
        </w:tc>
        <w:tc>
          <w:tcPr>
            <w:tcW w:w="1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116,254</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115,347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125,145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99,522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96,561</w:t>
            </w: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Net income available to common stockholders</w:t>
            </w:r>
          </w:p>
        </w:tc>
        <w:tc>
          <w:tcPr>
            <w:tcW w:w="1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67,847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43,511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27,687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56,596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56,297</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Per Share Data:</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Average diluted common shares outstanding (in thousands)</w:t>
            </w:r>
          </w:p>
        </w:tc>
        <w:tc>
          <w:tcPr>
            <w:tcW w:w="1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62,411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62,574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61,008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57,442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57,448</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Diluted net income per common share</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0.70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0.45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0.99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0.98</w:t>
            </w: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Cash dividends paid per common share</w:t>
            </w:r>
          </w:p>
        </w:tc>
        <w:tc>
          <w:tcPr>
            <w:tcW w:w="1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0.37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0.37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0.36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0.36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0.36</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Common dividend payout ratio </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33.94 %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52.86 %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36.36 %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36.90 %</w:t>
            </w: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Book value per common share</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41.97</w:t>
            </w:r>
          </w:p>
        </w:tc>
        <w:tc>
          <w:tcPr>
            <w:tcW w:w="12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42.96</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42.35</w:t>
            </w:r>
          </w:p>
        </w:tc>
        <w:tc>
          <w:tcPr>
            <w:tcW w:w="10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41.74</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Tangible book value per common share </w:t>
            </w:r>
            <w:r>
              <w:rPr>
                <w:rFonts w:ascii="Arial" w:cs="Arial" w:eastAsia="Arial" w:hAnsi="Arial"/>
                <w:sz w:val="14"/>
                <w:szCs w:val="14"/>
                <w:color w:val="auto"/>
                <w:vertAlign w:val="superscript"/>
              </w:rPr>
              <w:t>(2)</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28.86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29.80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29.34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30.18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29.08</w:t>
            </w:r>
          </w:p>
        </w:tc>
      </w:tr>
      <w:tr>
        <w:trPr>
          <w:trHeight w:val="155"/>
        </w:trPr>
        <w:tc>
          <w:tcPr>
            <w:tcW w:w="4120" w:type="dxa"/>
            <w:vAlign w:val="bottom"/>
          </w:tcPr>
          <w:p>
            <w:pPr>
              <w:ind w:left="20"/>
              <w:spacing w:after="0"/>
              <w:rPr>
                <w:sz w:val="20"/>
                <w:szCs w:val="20"/>
                <w:color w:val="auto"/>
              </w:rPr>
            </w:pPr>
            <w:r>
              <w:rPr>
                <w:rFonts w:ascii="Arial" w:cs="Arial" w:eastAsia="Arial" w:hAnsi="Arial"/>
                <w:sz w:val="11"/>
                <w:szCs w:val="11"/>
                <w:b w:val="1"/>
                <w:bCs w:val="1"/>
                <w:color w:val="auto"/>
              </w:rPr>
              <w:t>Performance Ratios: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9"/>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Return on average assets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0.83 %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1.22 %</w:t>
            </w: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Return on average stockholders' equity</w:t>
            </w:r>
          </w:p>
        </w:tc>
        <w:tc>
          <w:tcPr>
            <w:tcW w:w="1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10.07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6.44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4.17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9.23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9.51</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Return on tangible common stockholders' equity</w:t>
            </w:r>
            <w:r>
              <w:rPr>
                <w:rFonts w:ascii="Arial" w:cs="Arial" w:eastAsia="Arial" w:hAnsi="Arial"/>
                <w:sz w:val="14"/>
                <w:szCs w:val="14"/>
                <w:color w:val="auto"/>
                <w:vertAlign w:val="superscript"/>
              </w:rPr>
              <w:t>(2)</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15.09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9.80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6.39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14.21</w:t>
            </w: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Net interest margin</w:t>
            </w:r>
          </w:p>
        </w:tc>
        <w:tc>
          <w:tcPr>
            <w:tcW w:w="1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3.32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3.25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3.21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3.15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3.09</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interest margin (FTE)</w:t>
            </w:r>
            <w:r>
              <w:rPr>
                <w:rFonts w:ascii="Arial" w:cs="Arial" w:eastAsia="Arial" w:hAnsi="Arial"/>
                <w:sz w:val="14"/>
                <w:szCs w:val="14"/>
                <w:color w:val="auto"/>
                <w:vertAlign w:val="superscript"/>
              </w:rPr>
              <w:t>(2)(3)</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3.44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3.24</w:t>
            </w:r>
          </w:p>
        </w:tc>
      </w:tr>
      <w:tr>
        <w:trPr>
          <w:trHeight w:val="162"/>
        </w:trPr>
        <w:tc>
          <w:tcPr>
            <w:tcW w:w="4120" w:type="dxa"/>
            <w:vAlign w:val="bottom"/>
          </w:tcPr>
          <w:p>
            <w:pPr>
              <w:ind w:left="20"/>
              <w:spacing w:after="0"/>
              <w:rPr>
                <w:sz w:val="20"/>
                <w:szCs w:val="20"/>
                <w:color w:val="auto"/>
              </w:rPr>
            </w:pPr>
            <w:r>
              <w:rPr>
                <w:rFonts w:ascii="Arial" w:cs="Arial" w:eastAsia="Arial" w:hAnsi="Arial"/>
                <w:sz w:val="11"/>
                <w:szCs w:val="11"/>
                <w:color w:val="auto"/>
              </w:rPr>
              <w:t>Efficiency ratio</w:t>
            </w:r>
            <w:r>
              <w:rPr>
                <w:rFonts w:ascii="Arial" w:cs="Arial" w:eastAsia="Arial" w:hAnsi="Arial"/>
                <w:sz w:val="14"/>
                <w:szCs w:val="14"/>
                <w:color w:val="auto"/>
                <w:vertAlign w:val="superscript"/>
              </w:rPr>
              <w:t>(2)</w:t>
            </w:r>
          </w:p>
        </w:tc>
        <w:tc>
          <w:tcPr>
            <w:tcW w:w="18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54.55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55.11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74.45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54.52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55.09</w:t>
            </w: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charge-offs as % of average loans (annualized)</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0.75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0.27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0.15</w:t>
            </w:r>
          </w:p>
        </w:tc>
      </w:tr>
      <w:tr>
        <w:trPr>
          <w:trHeight w:val="152"/>
        </w:trPr>
        <w:tc>
          <w:tcPr>
            <w:tcW w:w="4120" w:type="dxa"/>
            <w:vAlign w:val="bottom"/>
          </w:tcPr>
          <w:p>
            <w:pPr>
              <w:ind w:left="20"/>
              <w:spacing w:after="0"/>
              <w:rPr>
                <w:sz w:val="20"/>
                <w:szCs w:val="20"/>
                <w:color w:val="auto"/>
              </w:rPr>
            </w:pPr>
            <w:r>
              <w:rPr>
                <w:rFonts w:ascii="Arial" w:cs="Arial" w:eastAsia="Arial" w:hAnsi="Arial"/>
                <w:sz w:val="11"/>
                <w:szCs w:val="11"/>
                <w:color w:val="auto"/>
              </w:rPr>
              <w:t>Allowance for credit losses - loans as % of loans</w:t>
            </w:r>
          </w:p>
        </w:tc>
        <w:tc>
          <w:tcPr>
            <w:tcW w:w="1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1.43</w:t>
            </w:r>
          </w:p>
        </w:tc>
      </w:tr>
      <w:tr>
        <w:trPr>
          <w:trHeight w:val="15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Nonperforming assets / total assets %</w:t>
            </w: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0.57</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0.56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0.43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0.38</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0.36</w:t>
            </w:r>
          </w:p>
        </w:tc>
      </w:tr>
      <w:tr>
        <w:trPr>
          <w:trHeight w:val="155"/>
        </w:trPr>
        <w:tc>
          <w:tcPr>
            <w:tcW w:w="4120" w:type="dxa"/>
            <w:vAlign w:val="bottom"/>
          </w:tcPr>
          <w:p>
            <w:pPr>
              <w:ind w:left="20"/>
              <w:spacing w:after="0"/>
              <w:rPr>
                <w:sz w:val="20"/>
                <w:szCs w:val="20"/>
                <w:color w:val="auto"/>
              </w:rPr>
            </w:pPr>
            <w:r>
              <w:rPr>
                <w:rFonts w:ascii="Arial" w:cs="Arial" w:eastAsia="Arial" w:hAnsi="Arial"/>
                <w:sz w:val="11"/>
                <w:szCs w:val="11"/>
                <w:b w:val="1"/>
                <w:bCs w:val="1"/>
                <w:color w:val="auto"/>
              </w:rPr>
              <w:t>Balance Sheet:</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securities</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3,124,491</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3,292,076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3,309,902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3,378,641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3,382,391</w:t>
            </w:r>
          </w:p>
        </w:tc>
      </w:tr>
      <w:tr>
        <w:trPr>
          <w:trHeight w:val="152"/>
        </w:trPr>
        <w:tc>
          <w:tcPr>
            <w:tcW w:w="4120" w:type="dxa"/>
            <w:vAlign w:val="bottom"/>
          </w:tcPr>
          <w:p>
            <w:pPr>
              <w:ind w:left="20"/>
              <w:spacing w:after="0"/>
              <w:rPr>
                <w:sz w:val="20"/>
                <w:szCs w:val="20"/>
                <w:color w:val="auto"/>
              </w:rPr>
            </w:pPr>
            <w:r>
              <w:rPr>
                <w:rFonts w:ascii="Arial" w:cs="Arial" w:eastAsia="Arial" w:hAnsi="Arial"/>
                <w:sz w:val="11"/>
                <w:szCs w:val="11"/>
                <w:color w:val="auto"/>
              </w:rPr>
              <w:t>Total loans, excluding loans held for sale</w:t>
            </w:r>
          </w:p>
        </w:tc>
        <w:tc>
          <w:tcPr>
            <w:tcW w:w="1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15,600,974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15,530,737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15,261,889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13,791,707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13,591,174</w:t>
            </w:r>
          </w:p>
        </w:tc>
      </w:tr>
      <w:tr>
        <w:trPr>
          <w:trHeight w:val="17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assets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21,056,722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21,348,765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21,072,521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19,025,101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18,811,629</w:t>
            </w: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Total deposits</w:t>
            </w:r>
          </w:p>
        </w:tc>
        <w:tc>
          <w:tcPr>
            <w:tcW w:w="1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16,928,932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16,753,381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16,485,617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15,294,855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14,869,979</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borrowings</w:t>
            </w:r>
          </w:p>
        </w:tc>
        <w:tc>
          <w:tcPr>
            <w:tcW w:w="1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1,188,084</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1,603,749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1,644,995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999,934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1,177,854</w:t>
            </w:r>
          </w:p>
        </w:tc>
      </w:tr>
      <w:tr>
        <w:trPr>
          <w:trHeight w:val="152"/>
        </w:trPr>
        <w:tc>
          <w:tcPr>
            <w:tcW w:w="4120" w:type="dxa"/>
            <w:vAlign w:val="bottom"/>
          </w:tcPr>
          <w:p>
            <w:pPr>
              <w:ind w:left="20"/>
              <w:spacing w:after="0"/>
              <w:rPr>
                <w:sz w:val="20"/>
                <w:szCs w:val="20"/>
                <w:color w:val="auto"/>
              </w:rPr>
            </w:pPr>
            <w:r>
              <w:rPr>
                <w:rFonts w:ascii="Arial" w:cs="Arial" w:eastAsia="Arial" w:hAnsi="Arial"/>
                <w:sz w:val="11"/>
                <w:szCs w:val="11"/>
                <w:color w:val="auto"/>
              </w:rPr>
              <w:t>Total stockholders' equity</w:t>
            </w:r>
          </w:p>
        </w:tc>
        <w:tc>
          <w:tcPr>
            <w:tcW w:w="1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2,636,381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2,697,177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2,672,565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2,466,667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2,412,402</w:t>
            </w:r>
          </w:p>
        </w:tc>
      </w:tr>
      <w:tr>
        <w:trPr>
          <w:trHeight w:val="17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Capital Ratios: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Total stockholders' equity to assets</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12.52 %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12.63 %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12.68 %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12.97 %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12.82 %</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Tangible common equity to tangible assets</w:t>
            </w:r>
            <w:r>
              <w:rPr>
                <w:rFonts w:ascii="Arial" w:cs="Arial" w:eastAsia="Arial" w:hAnsi="Arial"/>
                <w:sz w:val="14"/>
                <w:szCs w:val="14"/>
                <w:color w:val="auto"/>
                <w:vertAlign w:val="superscript"/>
              </w:rPr>
              <w:t>(2)</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8.83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8.99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9.00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9.18</w:t>
            </w:r>
          </w:p>
        </w:tc>
      </w:tr>
      <w:tr>
        <w:trPr>
          <w:trHeight w:val="152"/>
        </w:trPr>
        <w:tc>
          <w:tcPr>
            <w:tcW w:w="4120" w:type="dxa"/>
            <w:vAlign w:val="bottom"/>
          </w:tcPr>
          <w:p>
            <w:pPr>
              <w:ind w:left="20"/>
              <w:spacing w:after="0"/>
              <w:rPr>
                <w:sz w:val="20"/>
                <w:szCs w:val="20"/>
                <w:color w:val="auto"/>
              </w:rPr>
            </w:pPr>
            <w:r>
              <w:rPr>
                <w:rFonts w:ascii="Arial" w:cs="Arial" w:eastAsia="Arial" w:hAnsi="Arial"/>
                <w:sz w:val="11"/>
                <w:szCs w:val="11"/>
                <w:color w:val="auto"/>
              </w:rPr>
              <w:t>Total risk-based capital to risk-weighted assets</w:t>
            </w:r>
          </w:p>
        </w:tc>
        <w:tc>
          <w:tcPr>
            <w:tcW w:w="18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13.58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12.98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13.05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13.41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13.04</w:t>
            </w:r>
          </w:p>
        </w:tc>
      </w:tr>
      <w:tr>
        <w:trPr>
          <w:trHeight w:val="17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Tier 1 capital to risk-weighted assets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11.36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11.30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11.36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11.49</w:t>
            </w:r>
          </w:p>
        </w:tc>
      </w:tr>
      <w:tr>
        <w:trPr>
          <w:trHeight w:val="142"/>
        </w:trPr>
        <w:tc>
          <w:tcPr>
            <w:tcW w:w="4120" w:type="dxa"/>
            <w:vAlign w:val="bottom"/>
          </w:tcPr>
          <w:p>
            <w:pPr>
              <w:ind w:left="20"/>
              <w:spacing w:after="0"/>
              <w:rPr>
                <w:sz w:val="20"/>
                <w:szCs w:val="20"/>
                <w:color w:val="auto"/>
              </w:rPr>
            </w:pPr>
            <w:r>
              <w:rPr>
                <w:rFonts w:ascii="Arial" w:cs="Arial" w:eastAsia="Arial" w:hAnsi="Arial"/>
                <w:sz w:val="11"/>
                <w:szCs w:val="11"/>
                <w:color w:val="auto"/>
              </w:rPr>
              <w:t>Common equity tier 1 capital to risk-weighted assets</w:t>
            </w:r>
          </w:p>
        </w:tc>
        <w:tc>
          <w:tcPr>
            <w:tcW w:w="18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11.22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11.16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106"/>
              <w:spacing w:after="0"/>
              <w:rPr>
                <w:sz w:val="20"/>
                <w:szCs w:val="20"/>
                <w:color w:val="auto"/>
              </w:rPr>
            </w:pPr>
            <w:r>
              <w:rPr>
                <w:rFonts w:ascii="Arial" w:cs="Arial" w:eastAsia="Arial" w:hAnsi="Arial"/>
                <w:sz w:val="11"/>
                <w:szCs w:val="11"/>
                <w:color w:val="auto"/>
              </w:rPr>
              <w:t>11.22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86"/>
              <w:spacing w:after="0"/>
              <w:rPr>
                <w:sz w:val="20"/>
                <w:szCs w:val="20"/>
                <w:color w:val="auto"/>
              </w:rPr>
            </w:pPr>
            <w:r>
              <w:rPr>
                <w:rFonts w:ascii="Arial" w:cs="Arial" w:eastAsia="Arial" w:hAnsi="Arial"/>
                <w:sz w:val="11"/>
                <w:szCs w:val="11"/>
                <w:color w:val="auto"/>
              </w:rPr>
              <w:t>11.70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color w:val="auto"/>
              </w:rPr>
              <w:t>11.34</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Tier 1 capital to average assets</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10.10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9.84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10.23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10.30</w:t>
            </w:r>
          </w:p>
        </w:tc>
      </w:tr>
      <w:tr>
        <w:trPr>
          <w:trHeight w:val="20"/>
        </w:trPr>
        <w:tc>
          <w:tcPr>
            <w:tcW w:w="4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ind w:left="140" w:hanging="114"/>
        <w:spacing w:after="0" w:line="227" w:lineRule="auto"/>
        <w:tabs>
          <w:tab w:leader="none" w:pos="140"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Cash dividends paid per common share divided by diluted net income per common share.</w:t>
      </w:r>
    </w:p>
    <w:p>
      <w:pPr>
        <w:spacing w:after="0" w:line="30" w:lineRule="exact"/>
        <w:rPr>
          <w:rFonts w:ascii="Arial" w:cs="Arial" w:eastAsia="Arial" w:hAnsi="Arial"/>
          <w:sz w:val="13"/>
          <w:szCs w:val="13"/>
          <w:color w:val="auto"/>
          <w:vertAlign w:val="superscript"/>
        </w:rPr>
      </w:pPr>
    </w:p>
    <w:p>
      <w:pPr>
        <w:ind w:left="140" w:hanging="114"/>
        <w:spacing w:after="0" w:line="211" w:lineRule="auto"/>
        <w:tabs>
          <w:tab w:leader="none" w:pos="140"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Non-GAAP financial measures. Refer to the "Non-GAAP Financial Measures" section for reconciliations to GAAP financial measures.</w:t>
      </w:r>
    </w:p>
    <w:p>
      <w:pPr>
        <w:spacing w:after="0" w:line="30" w:lineRule="exact"/>
        <w:rPr>
          <w:rFonts w:ascii="Arial" w:cs="Arial" w:eastAsia="Arial" w:hAnsi="Arial"/>
          <w:sz w:val="13"/>
          <w:szCs w:val="13"/>
          <w:color w:val="auto"/>
          <w:vertAlign w:val="superscript"/>
        </w:rPr>
      </w:pPr>
    </w:p>
    <w:p>
      <w:pPr>
        <w:ind w:left="140" w:hanging="114"/>
        <w:spacing w:after="0" w:line="211" w:lineRule="auto"/>
        <w:tabs>
          <w:tab w:leader="none" w:pos="140"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Calculated using a marginal tax rate of 21 percent for all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58"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Results for the three months ended September 30, 2026 reflect a full quarter of First Savings operations, while results for the nine months ended September 30, 2026 reflect the operations of First Savings beginning on the February 1, 2026 acquisition date. Accordingly, period-over-period changes in assets, loans, deposits, net interest income, noninterest income and noninterest expense reflect the contribution of the acquired operations in addition to changes driven by market conditions, volume, and mix. Further details of the Corporation's acquisition of First Savings are provided in NOTE 2. ACQUISITIONS of the Notes to Consolidated Condensed Financial Statements of this Quarterly Report on Form 10-Q.</w:t>
      </w:r>
    </w:p>
    <w:p>
      <w:pPr>
        <w:spacing w:after="0" w:line="211"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The Corporation reported third quarter 2026 net income available to common stockholders and diluted earnings per common share of $67.8 million and $1.09 per diluted share, respectively, compared to $56.3 million and $0.98 per diluted share, respectively, during the third quarter of 2025. The Corporation reported net income available to common stockholders and diluted earnings per common share of $139.0 million and $2.24 per diluted share, respectively, for the nine months ended September 30, 2026, compared to $167.5 million and $2.90 per diluted share, respectively, for the nine months ended September 30, 2025.</w:t>
      </w:r>
    </w:p>
    <w:p>
      <w:pPr>
        <w:spacing w:after="0" w:line="210"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When adjusting for certain non-recurring items, adjusted net income available to common stockholders was $68.5 million and adjusted diluted earnings per common share totaled $1.10 for the third quarter of 2026, compared to $57.0 million and $0.99, respectively, in the third quarter of 2025. Adjusted net income available to common stockholders and adjusted diluted earnings per common share for the nine months ended September 30, 2026, totaled $178.0 million and $2.87, respectively, compared to $168.2 million and $2.91, respectively, for the same period in 2025. These adjusted net income and earnings per share amounts are non-GAAP measures. For reconciliations of GAAP financial measures to the corresponding non-GAAP financial measures provided above, refer to the "NON-GAAP FINANCIAL MEASURES" section of this Management's Discussion and Analysis of Financial Condition and Results of Operations.</w:t>
      </w:r>
    </w:p>
    <w:p>
      <w:pPr>
        <w:spacing w:after="0" w:line="198" w:lineRule="exact"/>
        <w:rPr>
          <w:sz w:val="20"/>
          <w:szCs w:val="20"/>
          <w:color w:val="auto"/>
        </w:rPr>
      </w:pPr>
    </w:p>
    <w:p>
      <w:pPr>
        <w:ind w:right="380"/>
        <w:spacing w:after="0" w:line="263" w:lineRule="auto"/>
        <w:rPr>
          <w:sz w:val="20"/>
          <w:szCs w:val="20"/>
          <w:color w:val="auto"/>
        </w:rPr>
      </w:pPr>
      <w:r>
        <w:rPr>
          <w:rFonts w:ascii="Arial" w:cs="Arial" w:eastAsia="Arial" w:hAnsi="Arial"/>
          <w:sz w:val="14"/>
          <w:szCs w:val="14"/>
          <w:color w:val="auto"/>
        </w:rPr>
        <w:t>As of September 30, 2026, total assets were $21.1 billion, an increase of $2.0 billion, or 10.7 percent, from December 31, 2025. The Corporation acquired First Savings on February 1, 2026, and acquired $2.4 billion of assets. Details of the acquisition are discussed within NOTE 2. ACQUISITIONS of the Notes to Consolidated Condensed Financial Statements of this Quarterly Report on Form 10-Q.</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Cash and due from banks and interest-bearing deposits increased $68.6 million from December 31, 2025. Total investment securities decreased by $254.2 million from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2025, primarily due to $139.9 million of principal paydowns, maturities, and other redemptions of available-for-sale and held-to-maturity securities, 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$123.8 million decrease in the fair value of the available-for-sale portfolio primarily driven by changes in market interest rates, and $7.3 million of amortization of purchase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premiums. The decreases were partially offset by $15.7 million in purchases. Investment securities represented 14.8 percent of total assets at September 30, 2026, compared to</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17.8 percent at December 31, 2025. Additional details of the Corporation's investment securities portfolio are discussed in NOTE 3. INVESTMENT SECURITIES of the Notes to</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Consolidated Condensed Financial Statements of this Quarterly Report on Form 10-Q.</w:t>
      </w:r>
    </w:p>
    <w:p>
      <w:pPr>
        <w:spacing w:after="0" w:line="230"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Excluding loans held for sale, total loans increased $1.8 billion from December 31, 2025. Loans acquired in the First Savings acquisition contributed $1.8 billion, partially offset by the sale of $271.1 million in mortgage loans in June 2026. Excluding acquired loans and the impact of loans sold, the Corporation experienced organic loan growth of $273.2 million, or 2.6 percent on an annualized basis, since December 31, 2025. The loan portfolio remains predominantly commercial-oriented, with commercial loans comprising 76.2 percent of total loans. Commercial and industrial and commercial real estate, non-owner occupied, represent the largest loan categories at 29.3 percent and</w:t>
      </w:r>
    </w:p>
    <w:p>
      <w:pPr>
        <w:spacing w:after="0" w:line="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20.6 percent of total loans, respectively. Growth during the period was driven primarily by increases in commercial real estate, non-owner occupied, home equity, commercial real estate, owner occupied, construction and commercial and industrial loans. Loans held for sale at September 30, 2026 and December 31, 2025 were $87.3 million and $20.1 million, respectively. The increase in loans held for sale was primarily attributable to the First Savings acquisition. Prior to the acquisition, loans held for sale primarily consisted of residential mortgage loans originated for sale in the secondary market. The acquisition added SBA and first-lien HELOC loans held for sale. Additional details regarding changes in the Corporation's loan portfolio are discussed within NOTE 4. LOANS AND ALLOWANCE FOR CREDIT LOSSES of the Notes to Consolidated Condensed Financial Statements of this Quarterly Report on Form 10-Q, and the "LOAN QUALITY AND PROVISION FOR CREDIT LOSSES ON LOANS" section of this Management's Discussion and Analysis of Financial Condition and Results of Operations.</w:t>
      </w:r>
    </w:p>
    <w:p>
      <w:pPr>
        <w:spacing w:after="0" w:line="219"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The Corporation's allowance for credit losses - loans ("ACL - Loans") totaled $215.5 million, or 1.38 percent of total loans, as of September 30, 2026, compared to $195.6 million, or 1.42 percent, at December 31, 2025, representing an increase of $19.9 million. The increase was attributable to provision for credit losses - loans of $41.2 million and a $22.3 million acquisition-date allowance for expected credit losses recognized for the First Savings loan portfolio, partially offset by net charge-offs of $43.6 million. During the three and nine months ended September 30, 2026, the Corporation recorded net charge-offs of $29.4 million and $43.6 million, respectively, and provision for credit losses - loans of $3.3 million and $41.2 million, respectively. During the three and nine months ended September 30, 2025, the Corporation recorded net charge-offs of $5.1 million and $12.4 million, respectively, and provision for credit losses - loans of $4.3 million and $14.1 million, respectively. The increases in provision for credit losses - loans and net charge-offs during the nine months ended September 30, 2026 were primarily driven by two commercial lending relationships that were moved to nonaccrual status and for which specific reserves were established at the end of the second quarter before being charged off in the third quarter of 2026.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Nonaccrual loans totaled $117.4 million at September 30, 2026, an increase of $45.6 million from December 31, 2025. The increase was primarily driven by increases of</w:t>
      </w:r>
    </w:p>
    <w:p>
      <w:pPr>
        <w:spacing w:after="0" w:line="29" w:lineRule="exact"/>
        <w:rPr>
          <w:sz w:val="20"/>
          <w:szCs w:val="20"/>
          <w:color w:val="auto"/>
        </w:rPr>
      </w:pPr>
    </w:p>
    <w:p>
      <w:pPr>
        <w:jc w:val="both"/>
        <w:ind w:right="200"/>
        <w:spacing w:after="0" w:line="272" w:lineRule="auto"/>
        <w:rPr>
          <w:sz w:val="20"/>
          <w:szCs w:val="20"/>
          <w:color w:val="auto"/>
        </w:rPr>
      </w:pPr>
      <w:r>
        <w:rPr>
          <w:rFonts w:ascii="Arial" w:cs="Arial" w:eastAsia="Arial" w:hAnsi="Arial"/>
          <w:sz w:val="14"/>
          <w:szCs w:val="14"/>
          <w:color w:val="auto"/>
        </w:rPr>
        <w:t>$34.2 million in the commercial and industrial loan class, including three loans totaling $29.7 million, and $8.8 million in the commercial real estate, non-owner occupied loan class, including one relationship totaling $8.7 million. Increases of $7.3 million in the commercial real estate, owner occupied loan class and $5.4 million in the residential loan class also contributed to the increase, partially offset by a $12.8 million decrease in the construction loan class primarily attributable to one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7" w:name="page48"/>
    <w:bookmarkEnd w:id="47"/>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The Corporation's reserve for unfunded commitments, which is recorded in other liabilities, totaled $18.5 million at September 30, 2026, compared to $18.0 million at December 31, 2025. The $0.5 million increase reflected the acquisition-date allowance for credit losses recognized on off-balance sheet commitments assumed in the First Savings acquisition. No provision for credit losses on unfunded commitments was recorded during the three and nine months ended September 30, 2026. Additional details of the Corporation's allowance methodology and asset quality are discussed in NOTE 4. LOANS AND ALLOWANCE FOR CREDIT LOSSES of the Notes to Consolidated Condensed Financial Statements of this Quarterly Report on Form 10-Q and in the “LOAN QUALITY AND PROVISION FOR CREDIT LOSSES ON LOANS” section of this Management’s Discussion and Analysis of Financial Condition and Results of Operations.</w:t>
      </w:r>
    </w:p>
    <w:p>
      <w:pPr>
        <w:spacing w:after="0" w:line="212" w:lineRule="exact"/>
        <w:rPr>
          <w:sz w:val="20"/>
          <w:szCs w:val="20"/>
          <w:color w:val="auto"/>
        </w:rPr>
      </w:pPr>
    </w:p>
    <w:p>
      <w:pPr>
        <w:jc w:val="both"/>
        <w:ind w:right="80"/>
        <w:spacing w:after="0" w:line="273" w:lineRule="auto"/>
        <w:rPr>
          <w:sz w:val="20"/>
          <w:szCs w:val="20"/>
          <w:color w:val="auto"/>
        </w:rPr>
      </w:pPr>
      <w:r>
        <w:rPr>
          <w:rFonts w:ascii="Arial" w:cs="Arial" w:eastAsia="Arial" w:hAnsi="Arial"/>
          <w:sz w:val="14"/>
          <w:szCs w:val="14"/>
          <w:color w:val="auto"/>
        </w:rPr>
        <w:t>Several additional asset categories increased from December 31, 2025, primarily due to the acquisition of First Savings, including increases of $76.2 million in goodwill, $66.5 million in the cash surrender value of life insurance, $24.0 million in premises and equipment, $22.5 million in other intangibles, $23.5 million in FHLB stock, and $5.9 million in interest receivable.</w:t>
      </w:r>
    </w:p>
    <w:p>
      <w:pPr>
        <w:spacing w:after="0" w:line="20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Corporation's tax asset, deferred and receivable, increased $57.6 million from December 31, 2025, primarily driven by a $25.5 million increase in the deferred tax asset associated with the unrealized loss on available for sale securities, a $22.9 million tax asset recorded as part of the First Savings acquisition and an increase of $15.3 million in income tax receivable.</w:t>
      </w:r>
    </w:p>
    <w:p>
      <w:pPr>
        <w:spacing w:after="0" w:line="200" w:lineRule="exact"/>
        <w:rPr>
          <w:sz w:val="20"/>
          <w:szCs w:val="20"/>
          <w:color w:val="auto"/>
        </w:rPr>
      </w:pPr>
    </w:p>
    <w:p>
      <w:pPr>
        <w:ind w:right="80"/>
        <w:spacing w:after="0" w:line="176" w:lineRule="exact"/>
        <w:rPr>
          <w:sz w:val="20"/>
          <w:szCs w:val="20"/>
          <w:color w:val="auto"/>
        </w:rPr>
      </w:pPr>
      <w:r>
        <w:rPr>
          <w:rFonts w:ascii="Arial" w:cs="Arial" w:eastAsia="Arial" w:hAnsi="Arial"/>
          <w:sz w:val="14"/>
          <w:szCs w:val="14"/>
          <w:color w:val="auto"/>
        </w:rPr>
        <w:t>Other assets increased $83.4 million from December 31, 2025, primarily due to $26.5 million of assets acquired in the First Savings acquisition, $23.2 million related to investments in community redevelopment funds, $28.0 million related to an increase in derivative instruments, and $5.6 million related to the recognition of a right</w:t>
      </w:r>
      <w:r>
        <w:rPr>
          <w:rFonts w:ascii="MS PGothic" w:cs="MS PGothic" w:eastAsia="MS PGothic" w:hAnsi="MS PGothic"/>
          <w:sz w:val="14"/>
          <w:szCs w:val="14"/>
          <w:color w:val="auto"/>
        </w:rPr>
        <w:t>‑</w:t>
      </w:r>
      <w:r>
        <w:rPr>
          <w:rFonts w:ascii="Arial" w:cs="Arial" w:eastAsia="Arial" w:hAnsi="Arial"/>
          <w:sz w:val="14"/>
          <w:szCs w:val="14"/>
          <w:color w:val="auto"/>
        </w:rPr>
        <w:t>of</w:t>
      </w:r>
      <w:r>
        <w:rPr>
          <w:rFonts w:ascii="MS PGothic" w:cs="MS PGothic" w:eastAsia="MS PGothic" w:hAnsi="MS PGothic"/>
          <w:sz w:val="14"/>
          <w:szCs w:val="14"/>
          <w:color w:val="auto"/>
        </w:rPr>
        <w:t>‑</w:t>
      </w:r>
      <w:r>
        <w:rPr>
          <w:rFonts w:ascii="Arial" w:cs="Arial" w:eastAsia="Arial" w:hAnsi="Arial"/>
          <w:sz w:val="14"/>
          <w:szCs w:val="14"/>
          <w:color w:val="auto"/>
        </w:rPr>
        <w:t>use asset associated with the Corporation’s new Michigan headquarters. The increase in derivative instruments reflects new interest rate swaps executed with commercial banking customers and favorable fair value adjustments resulting from changes in market interest rates.</w:t>
      </w:r>
    </w:p>
    <w:p>
      <w:pPr>
        <w:spacing w:after="0" w:line="228"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color w:val="auto"/>
        </w:rPr>
        <w:t>As of September 30, 2026, total deposits equaled $16.9 billion, an increase of $1.6 billion from December 31, 2025, or 14.2 percent on an annualized basis. The acquisition of First Savings contributed $1.7 billion in deposits, partially offset by a $56.1 million decline in deposits, excluding acquired deposits, from December 31, 2025. The increase in total deposits from December 31, 2025 was primarily attributable to increases of $751.2 million in demand deposits, $679.4 million in money market and savings deposits, and $317.3 million in time deposits. Total deposits less time deposits greater than $100,000, or core deposits, represented 91.0 percent of the deposit portfolio at September 30, 2026. Noninterest-bearing deposits represented 22.2 percent of the deposit portfolio at September 30, 2026, compared to 14.0 percent at December 31, 2025. The loan to deposit ratio increased to 92.2 percent at period end from 90.2 percent as of December 31, 2025.</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average account balance within the deposit portfolio was $40,000 at September 30, 2026. Insured deposits totaled 68.3 percent of total deposits, with the State of Indiana's Public Deposit Insurance Fund, which insures certain public deposits, providing insurance for 14.4 percent of deposits and the Federal Deposit Insurance Corporation ("FDIC") providing insurance for the remaining 53.9 percent. Uninsured deposits represented 31.7 percent of total deposits. The Corporation maintains available liquidity through on-balance-sheet sources and unused borrowing capacity from the Federal Reserve Discount Window, the FHLB and unsecured borrowing sources.</w:t>
      </w:r>
    </w:p>
    <w:p>
      <w:pPr>
        <w:spacing w:after="0" w:line="21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Total borrowings increased $188.2 million at September 30, 2026, compared to December 31, 2025. FHLB advances and subordinated notes, debentures and other borrowings increased $105.4 million and $126.9 million, respectively. The increase in subordinated notes, debentures and other borrowings was primarily attributable to the issuance of $100.0 million of subordinated debt during the third quarter of 2026 and the assumption of $28.7 million of subordinated notes in the First Savings acquisition. The increase in FHLB advances was primarily attributable to the assumption of $482.7 million of FHLB advances in the First Savings acquisition, partially offset by repayments and maturities of advances. Federal funds purchased decreased $40.0 million from December 31, 2025, primarily due to elevated deposit balances, which reduced the Corporation's need for short-term wholesale funding. Additional details regarding the Corporation's subordinated notes, debentures and other borrowings are discussed in NOTE 9. BORROWINGS of the Notes to Consolidated Condensed Financial Statements of this Quarterly Report on Form 10-Q.</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The Corporation's other liabilities increased $40.8 million as of September 30, 2026, compared to December 31, 2025, primarily due to a $28.2 million increase in derivative instruments as a result of new interest rate swaps and changes in market interest rates, $13.8 million of liabilities assumed in the First Savings acquisition, and a $5.6 million increase in lease liabilities related to the new Michigan headquarters. Partially offsetting these increases was a $6.3 million decrease in unfunded affordable housing investment commitments.</w:t>
      </w:r>
    </w:p>
    <w:p>
      <w:pPr>
        <w:spacing w:after="0" w:line="191"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Additional paid-in capital increased $197.1 million from December 31, 2025, primarily due to the issuance of $243.2 million of common stock as equity consideration in connection with the First Savings acquisition. The increase was partially offset by $50.3 million of share repurchases under the Corporation's Stock Repurchase Program and other capital activity.</w:t>
      </w:r>
    </w:p>
    <w:p>
      <w:pPr>
        <w:spacing w:after="0" w:line="200"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The Corporation continued to maintain all regulatory capital ratios in excess of the regulatory requirements for “well-capitalized” institutions. Details of the Stock Repurchase Program and regulatory capital ratios are discussed in the “CAPITAL” section of this Management’s Discussion and Analysis of Financial Condition and Results of Operations.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258"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The Corporation's accounting and reporting policies conform to GAAP and general practices within the banking industry. As a supplement to GAAP, the Corporation provides non-GAAP performance measures, which management believes are useful because they assist investors in assessing the Corporation's performance. Non-GAAP financial measures have inherent limitations, are not required to be uniformly applied, and are not audited. Although these non-GAAP financial measures are frequently used by investors to evaluate a company, they have limitations as analytical tools, and should not be considered in isolation, or as a substitute for analyses of results as reported under GAAP. Where non-GAAP financial measures are used, the comparable GAAP financial measure and the reconciliation to the comparable GAAP financial measure can be found in the following tables.</w:t>
      </w:r>
    </w:p>
    <w:p>
      <w:pPr>
        <w:spacing w:after="0" w:line="387"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Adjusted net income available to common stockholders and adjusted diluted earnings per common share are meaningful non-GAAP financial measures for management, as they provide a foundation for period-to-period and company-to-company comparisons, which management believes will aid both investors and analysts in analyzing our financial measures and evaluating future performance.</w:t>
      </w:r>
    </w:p>
    <w:p>
      <w:pPr>
        <w:spacing w:after="0" w:line="207"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Net interest income, net interest spread, and net interest margin presented on a fully taxable equivalent ("FTE") basis, using the 21 percent federal statutory tax rate, are non-GAAP financial measures used by management to assess the comparability of yields on taxable and tax-exempt assets. Management believes that it is standard practice in the banking industry to present net interest income, net interest spread, and net interest margin on an FTE basis and that it provides useful information for management and investors for peer comparison purposes. Non-GAAP financial measures such as tangible common stockholders' equity, tangible assets, tangible common stockholders' equity to tangible assets, tangible book value per common share, tangible net income available to common stockholders, diluted tangible net income per common share, return on average tangible common stockholders' equity and return on average tangible assets are important measures of the strength of the Corporation's capital and ability to generate earnings on tangible common equity invested by our shareholders. These non-GAAP measures provide useful supplemental information and may assist investors in analyzing the Corporation’s financial position without regard to the effects of intangible assets and preferred stock, but do retain the effect of accumulated other comprehensive losses in stockholders' equity. Disclosure of these measures also allows analysts and banking regulators to assess the Corporation's capital adequacy on these same bases.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40" w:type="dxa"/>
            <w:vAlign w:val="bottom"/>
          </w:tcPr>
          <w:p>
            <w:pPr>
              <w:ind w:left="20"/>
              <w:spacing w:after="0"/>
              <w:rPr>
                <w:sz w:val="20"/>
                <w:szCs w:val="20"/>
                <w:color w:val="auto"/>
              </w:rPr>
            </w:pPr>
            <w:r>
              <w:rPr>
                <w:rFonts w:ascii="Arial" w:cs="Arial" w:eastAsia="Arial" w:hAnsi="Arial"/>
                <w:sz w:val="11"/>
                <w:szCs w:val="11"/>
                <w:b w:val="1"/>
                <w:bCs w:val="1"/>
                <w:color w:val="auto"/>
              </w:rPr>
              <w:t>ADJUSTED NET INCOME AND DILUTED EARNINGS PER COMMON SHARE (NON-GAAP)</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6"/>
        </w:trPr>
        <w:tc>
          <w:tcPr>
            <w:tcW w:w="5640" w:type="dxa"/>
            <w:vAlign w:val="bottom"/>
          </w:tcPr>
          <w:p>
            <w:pPr>
              <w:ind w:left="20"/>
              <w:spacing w:after="0"/>
              <w:rPr>
                <w:sz w:val="20"/>
                <w:szCs w:val="20"/>
                <w:color w:val="auto"/>
              </w:rPr>
            </w:pPr>
            <w:r>
              <w:rPr>
                <w:rFonts w:ascii="Arial" w:cs="Arial" w:eastAsia="Arial" w:hAnsi="Arial"/>
                <w:sz w:val="11"/>
                <w:szCs w:val="11"/>
                <w:color w:val="auto"/>
              </w:rPr>
              <w:t>(Dollars in Thousands, Except Per Share Amounts)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5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826"/>
              <w:spacing w:after="0"/>
              <w:rPr>
                <w:sz w:val="20"/>
                <w:szCs w:val="20"/>
                <w:color w:val="auto"/>
              </w:rPr>
            </w:pPr>
            <w:r>
              <w:rPr>
                <w:rFonts w:ascii="Arial" w:cs="Arial" w:eastAsia="Arial" w:hAnsi="Arial"/>
                <w:sz w:val="11"/>
                <w:szCs w:val="11"/>
                <w:b w:val="1"/>
                <w:bCs w:val="1"/>
                <w:color w:val="auto"/>
              </w:rPr>
              <w:t>Nine Months Ended</w:t>
            </w: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w:t>
            </w:r>
          </w:p>
        </w:tc>
        <w:tc>
          <w:tcPr>
            <w:tcW w:w="200" w:type="dxa"/>
            <w:vAlign w:val="bottom"/>
          </w:tcPr>
          <w:p>
            <w:pPr>
              <w:spacing w:after="0"/>
              <w:rPr>
                <w:sz w:val="12"/>
                <w:szCs w:val="12"/>
                <w:color w:val="auto"/>
              </w:rPr>
            </w:pPr>
          </w:p>
        </w:tc>
        <w:tc>
          <w:tcPr>
            <w:tcW w:w="124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12"/>
                <w:szCs w:val="12"/>
                <w:color w:val="auto"/>
              </w:rPr>
            </w:pPr>
          </w:p>
        </w:tc>
        <w:tc>
          <w:tcPr>
            <w:tcW w:w="1140" w:type="dxa"/>
            <w:vAlign w:val="bottom"/>
          </w:tcPr>
          <w:p>
            <w:pPr>
              <w:jc w:val="right"/>
              <w:ind w:right="246"/>
              <w:spacing w:after="0"/>
              <w:rPr>
                <w:sz w:val="20"/>
                <w:szCs w:val="20"/>
                <w:color w:val="auto"/>
              </w:rPr>
            </w:pPr>
            <w:r>
              <w:rPr>
                <w:rFonts w:ascii="Arial" w:cs="Arial" w:eastAsia="Arial" w:hAnsi="Arial"/>
                <w:sz w:val="11"/>
                <w:szCs w:val="11"/>
                <w:b w:val="1"/>
                <w:bCs w:val="1"/>
                <w:color w:val="auto"/>
              </w:rPr>
              <w:t>September 30,</w:t>
            </w:r>
          </w:p>
        </w:tc>
      </w:tr>
      <w:tr>
        <w:trPr>
          <w:trHeight w:val="170"/>
        </w:trPr>
        <w:tc>
          <w:tcPr>
            <w:tcW w:w="5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2025</w:t>
            </w:r>
          </w:p>
        </w:tc>
      </w:tr>
      <w:tr>
        <w:trPr>
          <w:trHeight w:val="14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available to common stockholders (GAAP)</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67,847</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56,297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139,045</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167,530</w:t>
            </w:r>
          </w:p>
        </w:tc>
      </w:tr>
      <w:tr>
        <w:trPr>
          <w:trHeight w:val="142"/>
        </w:trPr>
        <w:tc>
          <w:tcPr>
            <w:tcW w:w="5640" w:type="dxa"/>
            <w:vAlign w:val="bottom"/>
          </w:tcPr>
          <w:p>
            <w:pPr>
              <w:ind w:left="140"/>
              <w:spacing w:after="0"/>
              <w:rPr>
                <w:sz w:val="20"/>
                <w:szCs w:val="20"/>
                <w:color w:val="auto"/>
              </w:rPr>
            </w:pPr>
            <w:r>
              <w:rPr>
                <w:rFonts w:ascii="Arial" w:cs="Arial" w:eastAsia="Arial" w:hAnsi="Arial"/>
                <w:sz w:val="11"/>
                <w:szCs w:val="11"/>
                <w:color w:val="auto"/>
              </w:rPr>
              <w:t>Adjustments: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2"/>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Net realized losses on sales of available for sale securities</w:t>
            </w:r>
          </w:p>
        </w:tc>
        <w:tc>
          <w:tcPr>
            <w:tcW w:w="1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r>
      <w:tr>
        <w:trPr>
          <w:trHeight w:val="152"/>
        </w:trPr>
        <w:tc>
          <w:tcPr>
            <w:tcW w:w="5640" w:type="dxa"/>
            <w:vAlign w:val="bottom"/>
          </w:tcPr>
          <w:p>
            <w:pPr>
              <w:ind w:left="360"/>
              <w:spacing w:after="0"/>
              <w:rPr>
                <w:sz w:val="20"/>
                <w:szCs w:val="20"/>
                <w:color w:val="auto"/>
              </w:rPr>
            </w:pPr>
            <w:r>
              <w:rPr>
                <w:rFonts w:ascii="Arial" w:cs="Arial" w:eastAsia="Arial" w:hAnsi="Arial"/>
                <w:sz w:val="11"/>
                <w:szCs w:val="11"/>
                <w:color w:val="auto"/>
              </w:rPr>
              <w:t>Integration and transaction-related expenses</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862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21,660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276</w:t>
            </w:r>
          </w:p>
        </w:tc>
      </w:tr>
      <w:tr>
        <w:trPr>
          <w:trHeight w:val="152"/>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Net loss on mortgage loans reclassified to held for sale</w:t>
            </w:r>
          </w:p>
        </w:tc>
        <w:tc>
          <w:tcPr>
            <w:tcW w:w="1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29,755</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5640" w:type="dxa"/>
            <w:vAlign w:val="bottom"/>
          </w:tcPr>
          <w:p>
            <w:pPr>
              <w:ind w:left="360"/>
              <w:spacing w:after="0"/>
              <w:rPr>
                <w:sz w:val="20"/>
                <w:szCs w:val="20"/>
                <w:color w:val="auto"/>
              </w:rPr>
            </w:pPr>
            <w:r>
              <w:rPr>
                <w:rFonts w:ascii="Arial" w:cs="Arial" w:eastAsia="Arial" w:hAnsi="Arial"/>
                <w:sz w:val="11"/>
                <w:szCs w:val="11"/>
                <w:color w:val="auto"/>
              </w:rPr>
              <w:t xml:space="preserve">Non-core expenses </w:t>
            </w:r>
            <w:r>
              <w:rPr>
                <w:rFonts w:ascii="Arial" w:cs="Arial" w:eastAsia="Arial" w:hAnsi="Arial"/>
                <w:sz w:val="14"/>
                <w:szCs w:val="14"/>
                <w:color w:val="auto"/>
                <w:vertAlign w:val="superscript"/>
              </w:rPr>
              <w:t>(1)</w:t>
            </w: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633</w:t>
            </w:r>
          </w:p>
        </w:tc>
      </w:tr>
      <w:tr>
        <w:trPr>
          <w:trHeight w:val="155"/>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Tax on adjustments</w:t>
            </w: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(12,412)</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w:t>
            </w:r>
          </w:p>
        </w:tc>
      </w:tr>
      <w:tr>
        <w:trPr>
          <w:trHeight w:val="162"/>
        </w:trPr>
        <w:tc>
          <w:tcPr>
            <w:tcW w:w="5640" w:type="dxa"/>
            <w:vAlign w:val="bottom"/>
          </w:tcPr>
          <w:p>
            <w:pPr>
              <w:ind w:left="20"/>
              <w:spacing w:after="0"/>
              <w:rPr>
                <w:sz w:val="20"/>
                <w:szCs w:val="20"/>
                <w:color w:val="auto"/>
              </w:rPr>
            </w:pPr>
            <w:r>
              <w:rPr>
                <w:rFonts w:ascii="Arial" w:cs="Arial" w:eastAsia="Arial" w:hAnsi="Arial"/>
                <w:sz w:val="11"/>
                <w:szCs w:val="11"/>
                <w:color w:val="auto"/>
              </w:rPr>
              <w:t>Adjusted net income available to common stockholders (non-GAAP)</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68,501</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56,986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178,048</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168,225</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5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42"/>
        </w:trPr>
        <w:tc>
          <w:tcPr>
            <w:tcW w:w="5640" w:type="dxa"/>
            <w:vAlign w:val="bottom"/>
          </w:tcPr>
          <w:p>
            <w:pPr>
              <w:ind w:left="20"/>
              <w:spacing w:after="0"/>
              <w:rPr>
                <w:sz w:val="20"/>
                <w:szCs w:val="20"/>
                <w:color w:val="auto"/>
              </w:rPr>
            </w:pPr>
            <w:r>
              <w:rPr>
                <w:rFonts w:ascii="Arial" w:cs="Arial" w:eastAsia="Arial" w:hAnsi="Arial"/>
                <w:sz w:val="11"/>
                <w:szCs w:val="11"/>
                <w:color w:val="auto"/>
              </w:rPr>
              <w:t>Average diluted common shares outstanding (in thousands)</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62,411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57,448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62,003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57,817</w:t>
            </w:r>
          </w:p>
        </w:tc>
      </w:tr>
      <w:tr>
        <w:trPr>
          <w:trHeight w:val="20"/>
        </w:trPr>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2"/>
        </w:trPr>
        <w:tc>
          <w:tcPr>
            <w:tcW w:w="5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42"/>
        </w:trPr>
        <w:tc>
          <w:tcPr>
            <w:tcW w:w="5640" w:type="dxa"/>
            <w:vAlign w:val="bottom"/>
          </w:tcPr>
          <w:p>
            <w:pPr>
              <w:ind w:left="20"/>
              <w:spacing w:after="0"/>
              <w:rPr>
                <w:sz w:val="20"/>
                <w:szCs w:val="20"/>
                <w:color w:val="auto"/>
              </w:rPr>
            </w:pPr>
            <w:r>
              <w:rPr>
                <w:rFonts w:ascii="Arial" w:cs="Arial" w:eastAsia="Arial" w:hAnsi="Arial"/>
                <w:sz w:val="11"/>
                <w:szCs w:val="11"/>
                <w:color w:val="auto"/>
              </w:rPr>
              <w:t>Diluted earnings per common share (GAAP)</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0.98</w:t>
            </w:r>
          </w:p>
        </w:tc>
        <w:tc>
          <w:tcPr>
            <w:tcW w:w="10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2.24</w:t>
            </w:r>
          </w:p>
        </w:tc>
        <w:tc>
          <w:tcPr>
            <w:tcW w:w="12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2.90</w:t>
            </w:r>
          </w:p>
        </w:tc>
      </w:tr>
      <w:tr>
        <w:trPr>
          <w:trHeight w:val="20"/>
        </w:trPr>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2"/>
        </w:trPr>
        <w:tc>
          <w:tcPr>
            <w:tcW w:w="56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Adjustments: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2"/>
        </w:trPr>
        <w:tc>
          <w:tcPr>
            <w:tcW w:w="5640" w:type="dxa"/>
            <w:vAlign w:val="bottom"/>
          </w:tcPr>
          <w:p>
            <w:pPr>
              <w:ind w:left="360"/>
              <w:spacing w:after="0"/>
              <w:rPr>
                <w:sz w:val="20"/>
                <w:szCs w:val="20"/>
                <w:color w:val="auto"/>
              </w:rPr>
            </w:pPr>
            <w:r>
              <w:rPr>
                <w:rFonts w:ascii="Arial" w:cs="Arial" w:eastAsia="Arial" w:hAnsi="Arial"/>
                <w:sz w:val="11"/>
                <w:szCs w:val="11"/>
                <w:color w:val="auto"/>
              </w:rPr>
              <w:t>Net realized losses on sales of available for sale securities</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52"/>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Integration and transaction-related expenses</w:t>
            </w:r>
          </w:p>
        </w:tc>
        <w:tc>
          <w:tcPr>
            <w:tcW w:w="1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0.35</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2"/>
        </w:trPr>
        <w:tc>
          <w:tcPr>
            <w:tcW w:w="5640" w:type="dxa"/>
            <w:vAlign w:val="bottom"/>
          </w:tcPr>
          <w:p>
            <w:pPr>
              <w:ind w:left="360"/>
              <w:spacing w:after="0"/>
              <w:rPr>
                <w:sz w:val="20"/>
                <w:szCs w:val="20"/>
                <w:color w:val="auto"/>
              </w:rPr>
            </w:pPr>
            <w:r>
              <w:rPr>
                <w:rFonts w:ascii="Arial" w:cs="Arial" w:eastAsia="Arial" w:hAnsi="Arial"/>
                <w:sz w:val="11"/>
                <w:szCs w:val="11"/>
                <w:color w:val="auto"/>
              </w:rPr>
              <w:t>Net loss on mortgage loans reclassified to held for sale</w:t>
            </w:r>
          </w:p>
        </w:tc>
        <w:tc>
          <w:tcPr>
            <w:tcW w:w="18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0.48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0"/>
        </w:trPr>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2"/>
        </w:trPr>
        <w:tc>
          <w:tcPr>
            <w:tcW w:w="56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 xml:space="preserve">Non-core expenses </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0.01</w:t>
            </w:r>
          </w:p>
        </w:tc>
      </w:tr>
      <w:tr>
        <w:trPr>
          <w:trHeight w:val="156"/>
        </w:trPr>
        <w:tc>
          <w:tcPr>
            <w:tcW w:w="5640" w:type="dxa"/>
            <w:vAlign w:val="bottom"/>
          </w:tcPr>
          <w:p>
            <w:pPr>
              <w:ind w:left="360"/>
              <w:spacing w:after="0"/>
              <w:rPr>
                <w:sz w:val="20"/>
                <w:szCs w:val="20"/>
                <w:color w:val="auto"/>
              </w:rPr>
            </w:pPr>
            <w:r>
              <w:rPr>
                <w:rFonts w:ascii="Arial" w:cs="Arial" w:eastAsia="Arial" w:hAnsi="Arial"/>
                <w:sz w:val="11"/>
                <w:szCs w:val="11"/>
                <w:color w:val="auto"/>
              </w:rPr>
              <w:t>Tax on adjustments</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(0.20)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87"/>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Adjusted diluted earnings per common share (non-GAAP)</w:t>
            </w: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0.99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140" w:hanging="114"/>
        <w:spacing w:after="0"/>
        <w:tabs>
          <w:tab w:leader="none" w:pos="140"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Non-core expenses in the three and nine months ended September 30, 2025 included $0.6 million of severance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400" w:type="dxa"/>
            <w:vAlign w:val="bottom"/>
          </w:tcPr>
          <w:p>
            <w:pPr>
              <w:ind w:left="20"/>
              <w:spacing w:after="0"/>
              <w:rPr>
                <w:sz w:val="20"/>
                <w:szCs w:val="20"/>
                <w:color w:val="auto"/>
              </w:rPr>
            </w:pPr>
            <w:r>
              <w:rPr>
                <w:rFonts w:ascii="Arial" w:cs="Arial" w:eastAsia="Arial" w:hAnsi="Arial"/>
                <w:sz w:val="11"/>
                <w:szCs w:val="11"/>
                <w:b w:val="1"/>
                <w:bCs w:val="1"/>
                <w:color w:val="auto"/>
              </w:rPr>
              <w:t>NET INTEREST SPREAD AND MARGIN (FTE ADJUSTED) (NON-GAAP)</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6"/>
        </w:trPr>
        <w:tc>
          <w:tcPr>
            <w:tcW w:w="540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6"/>
        </w:trPr>
        <w:tc>
          <w:tcPr>
            <w:tcW w:w="5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846"/>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1"/>
                <w:szCs w:val="11"/>
                <w:b w:val="1"/>
                <w:bCs w:val="1"/>
                <w:color w:val="auto"/>
              </w:rPr>
              <w:t>Nine Months Ended</w:t>
            </w:r>
          </w:p>
        </w:tc>
      </w:tr>
      <w:tr>
        <w:trPr>
          <w:trHeight w:val="148"/>
        </w:trPr>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00" w:type="dxa"/>
            <w:vAlign w:val="bottom"/>
          </w:tcPr>
          <w:p>
            <w:pPr>
              <w:spacing w:after="0"/>
              <w:rPr>
                <w:sz w:val="12"/>
                <w:szCs w:val="12"/>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00" w:type="dxa"/>
            <w:vAlign w:val="bottom"/>
          </w:tcPr>
          <w:p>
            <w:pPr>
              <w:spacing w:after="0"/>
              <w:rPr>
                <w:sz w:val="12"/>
                <w:szCs w:val="12"/>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w:t>
            </w:r>
          </w:p>
        </w:tc>
        <w:tc>
          <w:tcPr>
            <w:tcW w:w="220" w:type="dxa"/>
            <w:vAlign w:val="bottom"/>
          </w:tcPr>
          <w:p>
            <w:pPr>
              <w:spacing w:after="0"/>
              <w:rPr>
                <w:sz w:val="12"/>
                <w:szCs w:val="12"/>
                <w:color w:val="auto"/>
              </w:rPr>
            </w:pPr>
          </w:p>
        </w:tc>
        <w:tc>
          <w:tcPr>
            <w:tcW w:w="1180" w:type="dxa"/>
            <w:vAlign w:val="bottom"/>
          </w:tcPr>
          <w:p>
            <w:pPr>
              <w:jc w:val="right"/>
              <w:ind w:right="266"/>
              <w:spacing w:after="0"/>
              <w:rPr>
                <w:sz w:val="20"/>
                <w:szCs w:val="20"/>
                <w:color w:val="auto"/>
              </w:rPr>
            </w:pPr>
            <w:r>
              <w:rPr>
                <w:rFonts w:ascii="Arial" w:cs="Arial" w:eastAsia="Arial" w:hAnsi="Arial"/>
                <w:sz w:val="11"/>
                <w:szCs w:val="11"/>
                <w:b w:val="1"/>
                <w:bCs w:val="1"/>
                <w:color w:val="auto"/>
              </w:rPr>
              <w:t>September 30,</w:t>
            </w:r>
          </w:p>
        </w:tc>
      </w:tr>
      <w:tr>
        <w:trPr>
          <w:trHeight w:val="170"/>
        </w:trPr>
        <w:tc>
          <w:tcPr>
            <w:tcW w:w="5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2025</w:t>
            </w:r>
          </w:p>
        </w:tc>
      </w:tr>
      <w:tr>
        <w:trPr>
          <w:trHeight w:val="1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income (GAAP)</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263,947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235,095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773,355</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687,348</w:t>
            </w:r>
          </w:p>
        </w:tc>
      </w:tr>
      <w:tr>
        <w:trPr>
          <w:trHeight w:val="15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FTE adjustment</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6,260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6,209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19,045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18,535</w:t>
            </w:r>
          </w:p>
        </w:tc>
      </w:tr>
      <w:tr>
        <w:trPr>
          <w:trHeight w:val="1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Income (FTE) (non-GAAP)</w:t>
            </w: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270,207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241,304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792,400</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705,883</w:t>
            </w:r>
          </w:p>
        </w:tc>
      </w:tr>
      <w:tr>
        <w:trPr>
          <w:trHeight w:val="15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Interest Expense (GAAP)</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102,879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101,430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302,043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290,399</w:t>
            </w:r>
          </w:p>
        </w:tc>
      </w:tr>
      <w:tr>
        <w:trPr>
          <w:trHeight w:val="18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Interest Income (FTE) (non-GAAP)</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167,328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139,874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490,357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415,484</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Earning Assets (GAAP)</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19,432,368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17,282,901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19,288,344</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17,135,301</w:t>
            </w:r>
          </w:p>
        </w:tc>
      </w:tr>
      <w:tr>
        <w:trPr>
          <w:trHeight w:val="142"/>
        </w:trPr>
        <w:tc>
          <w:tcPr>
            <w:tcW w:w="5400" w:type="dxa"/>
            <w:vAlign w:val="bottom"/>
          </w:tcPr>
          <w:p>
            <w:pPr>
              <w:ind w:left="20"/>
              <w:spacing w:after="0"/>
              <w:rPr>
                <w:sz w:val="20"/>
                <w:szCs w:val="20"/>
                <w:color w:val="auto"/>
              </w:rPr>
            </w:pPr>
            <w:r>
              <w:rPr>
                <w:rFonts w:ascii="Arial" w:cs="Arial" w:eastAsia="Arial" w:hAnsi="Arial"/>
                <w:sz w:val="11"/>
                <w:szCs w:val="11"/>
                <w:color w:val="auto"/>
              </w:rPr>
              <w:t>Average Interest-Bearing Liabilities (GAAP)</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106"/>
              <w:spacing w:after="0"/>
              <w:rPr>
                <w:sz w:val="20"/>
                <w:szCs w:val="20"/>
                <w:color w:val="auto"/>
              </w:rPr>
            </w:pPr>
            <w:r>
              <w:rPr>
                <w:rFonts w:ascii="Arial" w:cs="Arial" w:eastAsia="Arial" w:hAnsi="Arial"/>
                <w:sz w:val="11"/>
                <w:szCs w:val="11"/>
                <w:color w:val="auto"/>
              </w:rPr>
              <w:t>14,315,508</w:t>
            </w:r>
          </w:p>
        </w:tc>
        <w:tc>
          <w:tcPr>
            <w:tcW w:w="10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106"/>
              <w:spacing w:after="0"/>
              <w:rPr>
                <w:sz w:val="20"/>
                <w:szCs w:val="20"/>
                <w:color w:val="auto"/>
              </w:rPr>
            </w:pPr>
            <w:r>
              <w:rPr>
                <w:rFonts w:ascii="Arial" w:cs="Arial" w:eastAsia="Arial" w:hAnsi="Arial"/>
                <w:sz w:val="11"/>
                <w:szCs w:val="11"/>
                <w:color w:val="auto"/>
              </w:rPr>
              <w:t>13,822,298</w:t>
            </w:r>
          </w:p>
        </w:tc>
        <w:tc>
          <w:tcPr>
            <w:tcW w:w="10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86"/>
              <w:spacing w:after="0"/>
              <w:rPr>
                <w:sz w:val="20"/>
                <w:szCs w:val="20"/>
                <w:color w:val="auto"/>
              </w:rPr>
            </w:pPr>
            <w:r>
              <w:rPr>
                <w:rFonts w:ascii="Arial" w:cs="Arial" w:eastAsia="Arial" w:hAnsi="Arial"/>
                <w:sz w:val="11"/>
                <w:szCs w:val="11"/>
                <w:color w:val="auto"/>
              </w:rPr>
              <w:t>14,626,894</w:t>
            </w:r>
          </w:p>
        </w:tc>
        <w:tc>
          <w:tcPr>
            <w:tcW w:w="10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106"/>
              <w:spacing w:after="0"/>
              <w:rPr>
                <w:sz w:val="20"/>
                <w:szCs w:val="20"/>
                <w:color w:val="auto"/>
              </w:rPr>
            </w:pPr>
            <w:r>
              <w:rPr>
                <w:rFonts w:ascii="Arial" w:cs="Arial" w:eastAsia="Arial" w:hAnsi="Arial"/>
                <w:sz w:val="11"/>
                <w:szCs w:val="11"/>
                <w:color w:val="auto"/>
              </w:rPr>
              <w:t>13,664,348</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2"/>
        </w:trPr>
        <w:tc>
          <w:tcPr>
            <w:tcW w:w="5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400" w:type="dxa"/>
            <w:vAlign w:val="bottom"/>
          </w:tcPr>
          <w:p>
            <w:pPr>
              <w:ind w:left="20"/>
              <w:spacing w:after="0"/>
              <w:rPr>
                <w:sz w:val="20"/>
                <w:szCs w:val="20"/>
                <w:color w:val="auto"/>
              </w:rPr>
            </w:pPr>
            <w:r>
              <w:rPr>
                <w:rFonts w:ascii="Arial" w:cs="Arial" w:eastAsia="Arial" w:hAnsi="Arial"/>
                <w:sz w:val="11"/>
                <w:szCs w:val="11"/>
                <w:color w:val="auto"/>
              </w:rPr>
              <w:t>Net Interest Spread (GAAP)</w:t>
            </w:r>
          </w:p>
        </w:tc>
        <w:tc>
          <w:tcPr>
            <w:tcW w:w="1380" w:type="dxa"/>
            <w:vAlign w:val="bottom"/>
          </w:tcPr>
          <w:p>
            <w:pPr>
              <w:jc w:val="right"/>
              <w:spacing w:after="0"/>
              <w:rPr>
                <w:sz w:val="20"/>
                <w:szCs w:val="20"/>
                <w:color w:val="auto"/>
              </w:rPr>
            </w:pPr>
            <w:r>
              <w:rPr>
                <w:rFonts w:ascii="Arial" w:cs="Arial" w:eastAsia="Arial" w:hAnsi="Arial"/>
                <w:sz w:val="11"/>
                <w:szCs w:val="11"/>
                <w:color w:val="auto"/>
              </w:rPr>
              <w:t>2.56 %</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2.50 %</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2.59 %</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2.51 %</w:t>
            </w:r>
          </w:p>
        </w:tc>
      </w:tr>
      <w:tr>
        <w:trPr>
          <w:trHeight w:val="16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FTE adjustment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0.13 %</w:t>
            </w: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0.14 %</w:t>
            </w: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0.13 %</w:t>
            </w: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0.15 %</w:t>
            </w:r>
          </w:p>
        </w:tc>
      </w:tr>
      <w:tr>
        <w:trPr>
          <w:trHeight w:val="162"/>
        </w:trPr>
        <w:tc>
          <w:tcPr>
            <w:tcW w:w="5400" w:type="dxa"/>
            <w:vAlign w:val="bottom"/>
          </w:tcPr>
          <w:p>
            <w:pPr>
              <w:ind w:left="20"/>
              <w:spacing w:after="0"/>
              <w:rPr>
                <w:sz w:val="20"/>
                <w:szCs w:val="20"/>
                <w:color w:val="auto"/>
              </w:rPr>
            </w:pPr>
            <w:r>
              <w:rPr>
                <w:rFonts w:ascii="Arial" w:cs="Arial" w:eastAsia="Arial" w:hAnsi="Arial"/>
                <w:sz w:val="11"/>
                <w:szCs w:val="11"/>
                <w:color w:val="auto"/>
              </w:rPr>
              <w:t>Net Interest Spread (FTE) (non-GAAP)</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2.69 %</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2.64 %</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2.72 %</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2.66 %</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52"/>
        </w:trPr>
        <w:tc>
          <w:tcPr>
            <w:tcW w:w="5400" w:type="dxa"/>
            <w:vAlign w:val="bottom"/>
          </w:tcPr>
          <w:p>
            <w:pPr>
              <w:ind w:left="20"/>
              <w:spacing w:after="0"/>
              <w:rPr>
                <w:sz w:val="20"/>
                <w:szCs w:val="20"/>
                <w:color w:val="auto"/>
              </w:rPr>
            </w:pPr>
            <w:r>
              <w:rPr>
                <w:rFonts w:ascii="Arial" w:cs="Arial" w:eastAsia="Arial" w:hAnsi="Arial"/>
                <w:sz w:val="11"/>
                <w:szCs w:val="11"/>
                <w:color w:val="auto"/>
              </w:rPr>
              <w:t>Net Interest Margin (GAAP)</w:t>
            </w:r>
          </w:p>
        </w:tc>
        <w:tc>
          <w:tcPr>
            <w:tcW w:w="1380" w:type="dxa"/>
            <w:vAlign w:val="bottom"/>
          </w:tcPr>
          <w:p>
            <w:pPr>
              <w:jc w:val="right"/>
              <w:spacing w:after="0"/>
              <w:rPr>
                <w:sz w:val="20"/>
                <w:szCs w:val="20"/>
                <w:color w:val="auto"/>
              </w:rPr>
            </w:pPr>
            <w:r>
              <w:rPr>
                <w:rFonts w:ascii="Arial" w:cs="Arial" w:eastAsia="Arial" w:hAnsi="Arial"/>
                <w:sz w:val="11"/>
                <w:szCs w:val="11"/>
                <w:color w:val="auto"/>
              </w:rPr>
              <w:t>3.32 %</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3.09 %</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3.26 %</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3.09 %</w:t>
            </w:r>
          </w:p>
        </w:tc>
      </w:tr>
      <w:tr>
        <w:trPr>
          <w:trHeight w:val="16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FTE adjustment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0.12 %</w:t>
            </w: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0.15 %</w:t>
            </w: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0.13 %</w:t>
            </w: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0.14 %</w:t>
            </w:r>
          </w:p>
        </w:tc>
      </w:tr>
      <w:tr>
        <w:trPr>
          <w:trHeight w:val="162"/>
        </w:trPr>
        <w:tc>
          <w:tcPr>
            <w:tcW w:w="5400" w:type="dxa"/>
            <w:vAlign w:val="bottom"/>
          </w:tcPr>
          <w:p>
            <w:pPr>
              <w:ind w:left="20"/>
              <w:spacing w:after="0"/>
              <w:rPr>
                <w:sz w:val="20"/>
                <w:szCs w:val="20"/>
                <w:color w:val="auto"/>
              </w:rPr>
            </w:pPr>
            <w:r>
              <w:rPr>
                <w:rFonts w:ascii="Arial" w:cs="Arial" w:eastAsia="Arial" w:hAnsi="Arial"/>
                <w:sz w:val="11"/>
                <w:szCs w:val="11"/>
                <w:color w:val="auto"/>
              </w:rPr>
              <w:t>Net Interest Margin (FTE) (non-GAAP)</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3.44 %</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3.24 %</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3.39 %</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3.23 %</w:t>
            </w:r>
          </w:p>
        </w:tc>
      </w:tr>
      <w:tr>
        <w:trPr>
          <w:trHeight w:val="21"/>
        </w:trPr>
        <w:tc>
          <w:tcPr>
            <w:tcW w:w="5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60" w:type="dxa"/>
            <w:vAlign w:val="bottom"/>
          </w:tcPr>
          <w:p>
            <w:pPr>
              <w:ind w:left="20"/>
              <w:spacing w:after="0"/>
              <w:rPr>
                <w:sz w:val="20"/>
                <w:szCs w:val="20"/>
                <w:color w:val="auto"/>
              </w:rPr>
            </w:pPr>
            <w:r>
              <w:rPr>
                <w:rFonts w:ascii="Arial" w:cs="Arial" w:eastAsia="Arial" w:hAnsi="Arial"/>
                <w:sz w:val="11"/>
                <w:szCs w:val="11"/>
                <w:b w:val="1"/>
                <w:bCs w:val="1"/>
                <w:color w:val="auto"/>
              </w:rPr>
              <w:t>TANGIBLE COMMON STOCKHOLDERS' EQUITY TO TANGIBLE ASSETS (NON-GAAP)</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60" w:type="dxa"/>
            <w:vAlign w:val="bottom"/>
          </w:tcPr>
          <w:p>
            <w:pPr>
              <w:ind w:left="20"/>
              <w:spacing w:after="0"/>
              <w:rPr>
                <w:sz w:val="20"/>
                <w:szCs w:val="20"/>
                <w:color w:val="auto"/>
              </w:rPr>
            </w:pPr>
            <w:r>
              <w:rPr>
                <w:rFonts w:ascii="Arial" w:cs="Arial" w:eastAsia="Arial" w:hAnsi="Arial"/>
                <w:sz w:val="11"/>
                <w:szCs w:val="11"/>
                <w:color w:val="auto"/>
              </w:rPr>
              <w:t>(Dollars in Thousands, Except Per Share Amounts)</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September 30, 2026</w:t>
            </w:r>
          </w:p>
        </w:tc>
        <w:tc>
          <w:tcPr>
            <w:tcW w:w="160" w:type="dxa"/>
            <w:vAlign w:val="bottom"/>
          </w:tcPr>
          <w:p>
            <w:pPr>
              <w:spacing w:after="0"/>
              <w:rPr>
                <w:sz w:val="15"/>
                <w:szCs w:val="15"/>
                <w:color w:val="auto"/>
              </w:rPr>
            </w:pPr>
          </w:p>
        </w:tc>
        <w:tc>
          <w:tcPr>
            <w:tcW w:w="1280" w:type="dxa"/>
            <w:vAlign w:val="bottom"/>
          </w:tcPr>
          <w:p>
            <w:pPr>
              <w:jc w:val="right"/>
              <w:ind w:right="166"/>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62"/>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equity (GAAP)</w:t>
            </w: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2,636,381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2,466,667</w:t>
            </w:r>
          </w:p>
        </w:tc>
        <w:tc>
          <w:tcPr>
            <w:tcW w:w="0" w:type="dxa"/>
            <w:vAlign w:val="bottom"/>
          </w:tcPr>
          <w:p>
            <w:pPr>
              <w:spacing w:after="0"/>
              <w:rPr>
                <w:sz w:val="1"/>
                <w:szCs w:val="1"/>
                <w:color w:val="auto"/>
              </w:rPr>
            </w:pPr>
          </w:p>
        </w:tc>
      </w:tr>
      <w:tr>
        <w:trPr>
          <w:trHeight w:val="142"/>
        </w:trPr>
        <w:tc>
          <w:tcPr>
            <w:tcW w:w="8260" w:type="dxa"/>
            <w:vAlign w:val="bottom"/>
          </w:tcPr>
          <w:p>
            <w:pPr>
              <w:ind w:left="20"/>
              <w:spacing w:after="0"/>
              <w:rPr>
                <w:sz w:val="20"/>
                <w:szCs w:val="20"/>
                <w:color w:val="auto"/>
              </w:rPr>
            </w:pPr>
            <w:r>
              <w:rPr>
                <w:rFonts w:ascii="Arial" w:cs="Arial" w:eastAsia="Arial" w:hAnsi="Arial"/>
                <w:sz w:val="11"/>
                <w:szCs w:val="11"/>
                <w:color w:val="auto"/>
              </w:rPr>
              <w:t>Less: Preferred stock (GAAP)</w:t>
            </w: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(25,125)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(25,125)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Less: Intangible assets (GAAP)</w:t>
            </w:r>
          </w:p>
        </w:tc>
        <w:tc>
          <w:tcPr>
            <w:tcW w:w="1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(824,506)</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(725,802)</w:t>
            </w:r>
          </w:p>
        </w:tc>
        <w:tc>
          <w:tcPr>
            <w:tcW w:w="0" w:type="dxa"/>
            <w:vAlign w:val="bottom"/>
          </w:tcPr>
          <w:p>
            <w:pPr>
              <w:spacing w:after="0"/>
              <w:rPr>
                <w:sz w:val="1"/>
                <w:szCs w:val="1"/>
                <w:color w:val="auto"/>
              </w:rPr>
            </w:pPr>
          </w:p>
        </w:tc>
      </w:tr>
      <w:tr>
        <w:trPr>
          <w:trHeight w:val="162"/>
        </w:trPr>
        <w:tc>
          <w:tcPr>
            <w:tcW w:w="8260" w:type="dxa"/>
            <w:vAlign w:val="bottom"/>
          </w:tcPr>
          <w:p>
            <w:pPr>
              <w:ind w:left="360"/>
              <w:spacing w:after="0"/>
              <w:rPr>
                <w:sz w:val="20"/>
                <w:szCs w:val="20"/>
                <w:color w:val="auto"/>
              </w:rPr>
            </w:pPr>
            <w:r>
              <w:rPr>
                <w:rFonts w:ascii="Arial" w:cs="Arial" w:eastAsia="Arial" w:hAnsi="Arial"/>
                <w:sz w:val="11"/>
                <w:szCs w:val="11"/>
                <w:color w:val="auto"/>
              </w:rPr>
              <w:t>Tangible common stockholders' equity (non-GAAP)</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1,786,750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1,715,740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assets (GAAP)</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21,056,722</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19,025,101</w:t>
            </w:r>
          </w:p>
        </w:tc>
        <w:tc>
          <w:tcPr>
            <w:tcW w:w="0" w:type="dxa"/>
            <w:vAlign w:val="bottom"/>
          </w:tcPr>
          <w:p>
            <w:pPr>
              <w:spacing w:after="0"/>
              <w:rPr>
                <w:sz w:val="1"/>
                <w:szCs w:val="1"/>
                <w:color w:val="auto"/>
              </w:rPr>
            </w:pPr>
          </w:p>
        </w:tc>
      </w:tr>
      <w:tr>
        <w:trPr>
          <w:trHeight w:val="15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Intangible assets (GAAP)</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(824,506)</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(725,802)</w:t>
            </w: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Tangible assets (non-GAAP)</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20,232,216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18,299,299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1"/>
                <w:szCs w:val="11"/>
                <w:color w:val="auto"/>
              </w:rPr>
              <w:t>Stockholders' equity to assets (GAAP)</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spacing w:after="0" w:line="116" w:lineRule="exact"/>
              <w:rPr>
                <w:sz w:val="20"/>
                <w:szCs w:val="20"/>
                <w:color w:val="auto"/>
              </w:rPr>
            </w:pPr>
            <w:r>
              <w:rPr>
                <w:rFonts w:ascii="Arial" w:cs="Arial" w:eastAsia="Arial" w:hAnsi="Arial"/>
                <w:sz w:val="11"/>
                <w:szCs w:val="11"/>
                <w:color w:val="auto"/>
              </w:rPr>
              <w:t>12.52 %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spacing w:after="0" w:line="116" w:lineRule="exact"/>
              <w:rPr>
                <w:sz w:val="20"/>
                <w:szCs w:val="20"/>
                <w:color w:val="auto"/>
              </w:rPr>
            </w:pPr>
            <w:r>
              <w:rPr>
                <w:rFonts w:ascii="Arial" w:cs="Arial" w:eastAsia="Arial" w:hAnsi="Arial"/>
                <w:sz w:val="11"/>
                <w:szCs w:val="11"/>
                <w:color w:val="auto"/>
              </w:rPr>
              <w:t>12.97 %</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Tangible common stockholders' equity to tangible assets (non-GAAP)</w:t>
            </w: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8.83 %</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9.38 %</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Tangible common stockholders' equity (non-GAAP)</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1,786,750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1,715,740</w:t>
            </w:r>
          </w:p>
        </w:tc>
        <w:tc>
          <w:tcPr>
            <w:tcW w:w="0" w:type="dxa"/>
            <w:vAlign w:val="bottom"/>
          </w:tcPr>
          <w:p>
            <w:pPr>
              <w:spacing w:after="0"/>
              <w:rPr>
                <w:sz w:val="1"/>
                <w:szCs w:val="1"/>
                <w:color w:val="auto"/>
              </w:rPr>
            </w:pPr>
          </w:p>
        </w:tc>
      </w:tr>
      <w:tr>
        <w:trPr>
          <w:trHeight w:val="15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Plus: Tax benefit of intangibles (GAAP)</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8,470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2,966</w:t>
            </w: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Tangible common stockholders' equity, net of tax (non-GAAP)</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1,795,220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1,718,706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Common stock outstanding (in thousands)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62,210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56,952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Book value per common share (GAAP)</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41.97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42.87</w:t>
            </w:r>
          </w:p>
        </w:tc>
        <w:tc>
          <w:tcPr>
            <w:tcW w:w="0" w:type="dxa"/>
            <w:vAlign w:val="bottom"/>
          </w:tcPr>
          <w:p>
            <w:pPr>
              <w:spacing w:after="0"/>
              <w:rPr>
                <w:sz w:val="1"/>
                <w:szCs w:val="1"/>
                <w:color w:val="auto"/>
              </w:rPr>
            </w:pPr>
          </w:p>
        </w:tc>
      </w:tr>
      <w:tr>
        <w:trPr>
          <w:trHeight w:val="142"/>
        </w:trPr>
        <w:tc>
          <w:tcPr>
            <w:tcW w:w="8260" w:type="dxa"/>
            <w:vAlign w:val="bottom"/>
          </w:tcPr>
          <w:p>
            <w:pPr>
              <w:ind w:left="680"/>
              <w:spacing w:after="0"/>
              <w:rPr>
                <w:sz w:val="20"/>
                <w:szCs w:val="20"/>
                <w:color w:val="auto"/>
              </w:rPr>
            </w:pPr>
            <w:r>
              <w:rPr>
                <w:rFonts w:ascii="Arial" w:cs="Arial" w:eastAsia="Arial" w:hAnsi="Arial"/>
                <w:sz w:val="11"/>
                <w:szCs w:val="11"/>
                <w:color w:val="auto"/>
              </w:rPr>
              <w:t>Tangible book value per common share (non-GAAP)</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106"/>
              <w:spacing w:after="0"/>
              <w:rPr>
                <w:sz w:val="20"/>
                <w:szCs w:val="20"/>
                <w:color w:val="auto"/>
              </w:rPr>
            </w:pPr>
            <w:r>
              <w:rPr>
                <w:rFonts w:ascii="Arial" w:cs="Arial" w:eastAsia="Arial" w:hAnsi="Arial"/>
                <w:sz w:val="11"/>
                <w:szCs w:val="11"/>
                <w:color w:val="auto"/>
              </w:rPr>
              <w:t>28.86</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106"/>
              <w:spacing w:after="0"/>
              <w:rPr>
                <w:sz w:val="20"/>
                <w:szCs w:val="20"/>
                <w:color w:val="auto"/>
              </w:rPr>
            </w:pPr>
            <w:r>
              <w:rPr>
                <w:rFonts w:ascii="Arial" w:cs="Arial" w:eastAsia="Arial" w:hAnsi="Arial"/>
                <w:sz w:val="11"/>
                <w:szCs w:val="11"/>
                <w:color w:val="auto"/>
              </w:rPr>
              <w:t>30.18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DILUTED TANGIBLE NET INCOME PER COMMON SHARE, RETURN ON AVERAGE TANGIBLE ASSETS AND RETURN ON AVERAGE TANGIBLE COMMON STOCKHOLDERS' EQUITY (NON-GAAP)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(Dollars 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gridSpan w:val="5"/>
          </w:tcPr>
          <w:p>
            <w:pPr>
              <w:ind w:left="220"/>
              <w:spacing w:after="0"/>
              <w:rPr>
                <w:sz w:val="20"/>
                <w:szCs w:val="20"/>
                <w:color w:val="auto"/>
              </w:rPr>
            </w:pPr>
            <w:r>
              <w:rPr>
                <w:rFonts w:ascii="Arial" w:cs="Arial" w:eastAsia="Arial" w:hAnsi="Arial"/>
                <w:sz w:val="11"/>
                <w:szCs w:val="11"/>
                <w:b w:val="1"/>
                <w:bCs w:val="1"/>
                <w:color w:val="auto"/>
              </w:rPr>
              <w:t>Three Months Ended September 30,</w:t>
            </w:r>
          </w:p>
        </w:tc>
        <w:tc>
          <w:tcPr>
            <w:tcW w:w="300" w:type="dxa"/>
            <w:vAlign w:val="bottom"/>
          </w:tcPr>
          <w:p>
            <w:pPr>
              <w:spacing w:after="0"/>
              <w:rPr>
                <w:sz w:val="12"/>
                <w:szCs w:val="12"/>
                <w:color w:val="auto"/>
              </w:rPr>
            </w:pPr>
          </w:p>
        </w:tc>
        <w:tc>
          <w:tcPr>
            <w:tcW w:w="2560" w:type="dxa"/>
            <w:vAlign w:val="bottom"/>
            <w:gridSpan w:val="4"/>
          </w:tcPr>
          <w:p>
            <w:pPr>
              <w:jc w:val="right"/>
              <w:ind w:right="486"/>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4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goodwill (GAAP)</w:t>
            </w: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788,186</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712,002</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777,211</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712,002</w:t>
            </w:r>
          </w:p>
        </w:tc>
        <w:tc>
          <w:tcPr>
            <w:tcW w:w="0" w:type="dxa"/>
            <w:vAlign w:val="bottom"/>
          </w:tcPr>
          <w:p>
            <w:pPr>
              <w:spacing w:after="0"/>
              <w:rPr>
                <w:sz w:val="1"/>
                <w:szCs w:val="1"/>
                <w:color w:val="auto"/>
              </w:rPr>
            </w:pPr>
          </w:p>
        </w:tc>
      </w:tr>
      <w:tr>
        <w:trPr>
          <w:trHeight w:val="142"/>
        </w:trPr>
        <w:tc>
          <w:tcPr>
            <w:tcW w:w="5400" w:type="dxa"/>
            <w:vAlign w:val="bottom"/>
          </w:tcPr>
          <w:p>
            <w:pPr>
              <w:ind w:left="20"/>
              <w:spacing w:after="0"/>
              <w:rPr>
                <w:sz w:val="20"/>
                <w:szCs w:val="20"/>
                <w:color w:val="auto"/>
              </w:rPr>
            </w:pPr>
            <w:r>
              <w:rPr>
                <w:rFonts w:ascii="Arial" w:cs="Arial" w:eastAsia="Arial" w:hAnsi="Arial"/>
                <w:sz w:val="11"/>
                <w:szCs w:val="11"/>
                <w:color w:val="auto"/>
              </w:rPr>
              <w:t>Average other intangibles (GAAP)</w:t>
            </w:r>
          </w:p>
        </w:tc>
        <w:tc>
          <w:tcPr>
            <w:tcW w:w="30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37,757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16,075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37,024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106"/>
              <w:spacing w:after="0"/>
              <w:rPr>
                <w:sz w:val="20"/>
                <w:szCs w:val="20"/>
                <w:color w:val="auto"/>
              </w:rPr>
            </w:pPr>
            <w:r>
              <w:rPr>
                <w:rFonts w:ascii="Arial" w:cs="Arial" w:eastAsia="Arial" w:hAnsi="Arial"/>
                <w:sz w:val="11"/>
                <w:szCs w:val="11"/>
                <w:color w:val="auto"/>
              </w:rPr>
              <w:t>17,548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deferred tax on other intangibles (GAAP)</w:t>
            </w:r>
          </w:p>
        </w:tc>
        <w:tc>
          <w:tcPr>
            <w:tcW w:w="3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(8,804)</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(3,458)</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(9,037)</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(3,775)</w:t>
            </w:r>
          </w:p>
        </w:tc>
        <w:tc>
          <w:tcPr>
            <w:tcW w:w="0" w:type="dxa"/>
            <w:vAlign w:val="bottom"/>
          </w:tcPr>
          <w:p>
            <w:pPr>
              <w:spacing w:after="0"/>
              <w:rPr>
                <w:sz w:val="1"/>
                <w:szCs w:val="1"/>
                <w:color w:val="auto"/>
              </w:rPr>
            </w:pPr>
          </w:p>
        </w:tc>
      </w:tr>
      <w:tr>
        <w:trPr>
          <w:trHeight w:val="162"/>
        </w:trPr>
        <w:tc>
          <w:tcPr>
            <w:tcW w:w="5400" w:type="dxa"/>
            <w:vAlign w:val="bottom"/>
          </w:tcPr>
          <w:p>
            <w:pPr>
              <w:ind w:left="360"/>
              <w:spacing w:after="0"/>
              <w:rPr>
                <w:sz w:val="20"/>
                <w:szCs w:val="20"/>
                <w:color w:val="auto"/>
              </w:rPr>
            </w:pPr>
            <w:r>
              <w:rPr>
                <w:rFonts w:ascii="Arial" w:cs="Arial" w:eastAsia="Arial" w:hAnsi="Arial"/>
                <w:sz w:val="11"/>
                <w:szCs w:val="11"/>
                <w:color w:val="auto"/>
              </w:rPr>
              <w:t>Intangible adjustment (non-GAAP)</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817,139</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724,619</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805,198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725,775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Average stockholders' equity (GAAP)</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2,695,943</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2,367,971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2,684,796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2,349,718</w:t>
            </w:r>
          </w:p>
        </w:tc>
        <w:tc>
          <w:tcPr>
            <w:tcW w:w="0" w:type="dxa"/>
            <w:vAlign w:val="bottom"/>
          </w:tcPr>
          <w:p>
            <w:pPr>
              <w:spacing w:after="0"/>
              <w:rPr>
                <w:sz w:val="1"/>
                <w:szCs w:val="1"/>
                <w:color w:val="auto"/>
              </w:rPr>
            </w:pPr>
          </w:p>
        </w:tc>
      </w:tr>
      <w:tr>
        <w:trPr>
          <w:trHeight w:val="142"/>
        </w:trPr>
        <w:tc>
          <w:tcPr>
            <w:tcW w:w="5400" w:type="dxa"/>
            <w:vAlign w:val="bottom"/>
          </w:tcPr>
          <w:p>
            <w:pPr>
              <w:ind w:left="20"/>
              <w:spacing w:after="0"/>
              <w:rPr>
                <w:sz w:val="20"/>
                <w:szCs w:val="20"/>
                <w:color w:val="auto"/>
              </w:rPr>
            </w:pPr>
            <w:r>
              <w:rPr>
                <w:rFonts w:ascii="Arial" w:cs="Arial" w:eastAsia="Arial" w:hAnsi="Arial"/>
                <w:sz w:val="11"/>
                <w:szCs w:val="11"/>
                <w:color w:val="auto"/>
              </w:rPr>
              <w:t>Average preferred stock (GAAP)</w:t>
            </w:r>
          </w:p>
        </w:tc>
        <w:tc>
          <w:tcPr>
            <w:tcW w:w="300" w:type="dxa"/>
            <w:vAlign w:val="bottom"/>
          </w:tcPr>
          <w:p>
            <w:pPr>
              <w:spacing w:after="0"/>
              <w:rPr>
                <w:sz w:val="12"/>
                <w:szCs w:val="12"/>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(25,125)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(25,125)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(25,125)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(25,125)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Intangible adjustment (non-GAAP)</w:t>
            </w:r>
          </w:p>
        </w:tc>
        <w:tc>
          <w:tcPr>
            <w:tcW w:w="3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(817,139)</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(724,619)</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(805,198)</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(725,775)</w:t>
            </w:r>
          </w:p>
        </w:tc>
        <w:tc>
          <w:tcPr>
            <w:tcW w:w="0" w:type="dxa"/>
            <w:vAlign w:val="bottom"/>
          </w:tcPr>
          <w:p>
            <w:pPr>
              <w:spacing w:after="0"/>
              <w:rPr>
                <w:sz w:val="1"/>
                <w:szCs w:val="1"/>
                <w:color w:val="auto"/>
              </w:rPr>
            </w:pPr>
          </w:p>
        </w:tc>
      </w:tr>
      <w:tr>
        <w:trPr>
          <w:trHeight w:val="162"/>
        </w:trPr>
        <w:tc>
          <w:tcPr>
            <w:tcW w:w="5400" w:type="dxa"/>
            <w:vAlign w:val="bottom"/>
          </w:tcPr>
          <w:p>
            <w:pPr>
              <w:ind w:left="360"/>
              <w:spacing w:after="0"/>
              <w:rPr>
                <w:sz w:val="20"/>
                <w:szCs w:val="20"/>
                <w:color w:val="auto"/>
              </w:rPr>
            </w:pPr>
            <w:r>
              <w:rPr>
                <w:rFonts w:ascii="Arial" w:cs="Arial" w:eastAsia="Arial" w:hAnsi="Arial"/>
                <w:sz w:val="11"/>
                <w:szCs w:val="11"/>
                <w:color w:val="auto"/>
              </w:rPr>
              <w:t>Average tangible common stockholders' equity (non-GAAP)</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1,853,679</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1,618,227</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1,854,473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1,598,818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Average assets (GAAP)</w:t>
            </w: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21,065,760</w:t>
            </w: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18,637,581</w:t>
            </w: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20,911,229</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18,497,118</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Intangible adjustment (non-GAAP)</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(817,139)</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(724,619)</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(805,198)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(725,775)</w:t>
            </w:r>
          </w:p>
        </w:tc>
        <w:tc>
          <w:tcPr>
            <w:tcW w:w="0" w:type="dxa"/>
            <w:vAlign w:val="bottom"/>
          </w:tcPr>
          <w:p>
            <w:pPr>
              <w:spacing w:after="0"/>
              <w:rPr>
                <w:sz w:val="1"/>
                <w:szCs w:val="1"/>
                <w:color w:val="auto"/>
              </w:rPr>
            </w:pPr>
          </w:p>
        </w:tc>
      </w:tr>
      <w:tr>
        <w:trPr>
          <w:trHeight w:val="187"/>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Average tangible assets (non-GAAP)</w:t>
            </w: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20,248,621</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17,912,962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20,106,031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17,771,343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Net income available to common stockholders (GAAP)</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400" w:type="dxa"/>
            <w:vAlign w:val="bottom"/>
            <w:vMerge w:val="continue"/>
          </w:tcPr>
          <w:p>
            <w:pPr>
              <w:spacing w:after="0"/>
              <w:rPr>
                <w:sz w:val="10"/>
                <w:szCs w:val="10"/>
                <w:color w:val="auto"/>
              </w:rPr>
            </w:pPr>
          </w:p>
        </w:tc>
        <w:tc>
          <w:tcPr>
            <w:tcW w:w="300" w:type="dxa"/>
            <w:vAlign w:val="bottom"/>
          </w:tcPr>
          <w:p>
            <w:pPr>
              <w:jc w:val="right"/>
              <w:ind w:right="166"/>
              <w:spacing w:after="0" w:line="116" w:lineRule="exact"/>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6"/>
              <w:spacing w:after="0" w:line="116" w:lineRule="exact"/>
              <w:rPr>
                <w:sz w:val="20"/>
                <w:szCs w:val="20"/>
                <w:color w:val="auto"/>
              </w:rPr>
            </w:pPr>
            <w:r>
              <w:rPr>
                <w:rFonts w:ascii="Arial" w:cs="Arial" w:eastAsia="Arial" w:hAnsi="Arial"/>
                <w:sz w:val="11"/>
                <w:szCs w:val="11"/>
                <w:color w:val="auto"/>
              </w:rPr>
              <w:t>67,847</w:t>
            </w:r>
          </w:p>
        </w:tc>
        <w:tc>
          <w:tcPr>
            <w:tcW w:w="120" w:type="dxa"/>
            <w:vAlign w:val="bottom"/>
          </w:tcPr>
          <w:p>
            <w:pPr>
              <w:spacing w:after="0"/>
              <w:rPr>
                <w:sz w:val="10"/>
                <w:szCs w:val="10"/>
                <w:color w:val="auto"/>
              </w:rPr>
            </w:pPr>
          </w:p>
        </w:tc>
        <w:tc>
          <w:tcPr>
            <w:tcW w:w="320" w:type="dxa"/>
            <w:vAlign w:val="bottom"/>
          </w:tcPr>
          <w:p>
            <w:pPr>
              <w:jc w:val="right"/>
              <w:ind w:right="186"/>
              <w:spacing w:after="0" w:line="116" w:lineRule="exact"/>
              <w:rPr>
                <w:sz w:val="20"/>
                <w:szCs w:val="20"/>
                <w:color w:val="auto"/>
              </w:rPr>
            </w:pPr>
            <w:r>
              <w:rPr>
                <w:rFonts w:ascii="Arial" w:cs="Arial" w:eastAsia="Arial" w:hAnsi="Arial"/>
                <w:sz w:val="11"/>
                <w:szCs w:val="11"/>
                <w:color w:val="auto"/>
                <w:w w:val="97"/>
              </w:rPr>
              <w:t>$</w:t>
            </w:r>
          </w:p>
        </w:tc>
        <w:tc>
          <w:tcPr>
            <w:tcW w:w="1040" w:type="dxa"/>
            <w:vAlign w:val="bottom"/>
          </w:tcPr>
          <w:p>
            <w:pPr>
              <w:jc w:val="right"/>
              <w:ind w:right="86"/>
              <w:spacing w:after="0" w:line="116" w:lineRule="exact"/>
              <w:rPr>
                <w:sz w:val="20"/>
                <w:szCs w:val="20"/>
                <w:color w:val="auto"/>
              </w:rPr>
            </w:pPr>
            <w:r>
              <w:rPr>
                <w:rFonts w:ascii="Arial" w:cs="Arial" w:eastAsia="Arial" w:hAnsi="Arial"/>
                <w:sz w:val="11"/>
                <w:szCs w:val="11"/>
                <w:color w:val="auto"/>
              </w:rPr>
              <w:t>56,297</w:t>
            </w:r>
          </w:p>
        </w:tc>
        <w:tc>
          <w:tcPr>
            <w:tcW w:w="120" w:type="dxa"/>
            <w:vAlign w:val="bottom"/>
          </w:tcPr>
          <w:p>
            <w:pPr>
              <w:spacing w:after="0"/>
              <w:rPr>
                <w:sz w:val="10"/>
                <w:szCs w:val="10"/>
                <w:color w:val="auto"/>
              </w:rPr>
            </w:pPr>
          </w:p>
        </w:tc>
        <w:tc>
          <w:tcPr>
            <w:tcW w:w="300" w:type="dxa"/>
            <w:vAlign w:val="bottom"/>
          </w:tcPr>
          <w:p>
            <w:pPr>
              <w:jc w:val="right"/>
              <w:ind w:right="166"/>
              <w:spacing w:after="0" w:line="116" w:lineRule="exact"/>
              <w:rPr>
                <w:sz w:val="20"/>
                <w:szCs w:val="20"/>
                <w:color w:val="auto"/>
              </w:rPr>
            </w:pPr>
            <w:r>
              <w:rPr>
                <w:rFonts w:ascii="Arial" w:cs="Arial" w:eastAsia="Arial" w:hAnsi="Arial"/>
                <w:sz w:val="11"/>
                <w:szCs w:val="11"/>
                <w:color w:val="auto"/>
                <w:w w:val="97"/>
              </w:rPr>
              <w:t>$</w:t>
            </w:r>
          </w:p>
        </w:tc>
        <w:tc>
          <w:tcPr>
            <w:tcW w:w="108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139,045</w:t>
            </w:r>
          </w:p>
        </w:tc>
        <w:tc>
          <w:tcPr>
            <w:tcW w:w="100" w:type="dxa"/>
            <w:vAlign w:val="bottom"/>
          </w:tcPr>
          <w:p>
            <w:pPr>
              <w:spacing w:after="0"/>
              <w:rPr>
                <w:sz w:val="10"/>
                <w:szCs w:val="10"/>
                <w:color w:val="auto"/>
              </w:rPr>
            </w:pPr>
          </w:p>
        </w:tc>
        <w:tc>
          <w:tcPr>
            <w:tcW w:w="320" w:type="dxa"/>
            <w:vAlign w:val="bottom"/>
          </w:tcPr>
          <w:p>
            <w:pPr>
              <w:jc w:val="right"/>
              <w:ind w:right="186"/>
              <w:spacing w:after="0" w:line="116" w:lineRule="exact"/>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167,530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intangible amortization, net of tax (GAAP)</w:t>
            </w: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2,095</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1,185</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6,051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3,579</w:t>
            </w:r>
          </w:p>
        </w:tc>
        <w:tc>
          <w:tcPr>
            <w:tcW w:w="0" w:type="dxa"/>
            <w:vAlign w:val="bottom"/>
          </w:tcPr>
          <w:p>
            <w:pPr>
              <w:spacing w:after="0"/>
              <w:rPr>
                <w:sz w:val="1"/>
                <w:szCs w:val="1"/>
                <w:color w:val="auto"/>
              </w:rPr>
            </w:pPr>
          </w:p>
        </w:tc>
      </w:tr>
      <w:tr>
        <w:trPr>
          <w:trHeight w:val="136"/>
        </w:trPr>
        <w:tc>
          <w:tcPr>
            <w:tcW w:w="5400" w:type="dxa"/>
            <w:vAlign w:val="bottom"/>
          </w:tcPr>
          <w:p>
            <w:pPr>
              <w:ind w:left="20"/>
              <w:spacing w:after="0"/>
              <w:rPr>
                <w:sz w:val="20"/>
                <w:szCs w:val="20"/>
                <w:color w:val="auto"/>
              </w:rPr>
            </w:pPr>
            <w:r>
              <w:rPr>
                <w:rFonts w:ascii="Arial" w:cs="Arial" w:eastAsia="Arial" w:hAnsi="Arial"/>
                <w:sz w:val="11"/>
                <w:szCs w:val="11"/>
                <w:color w:val="auto"/>
              </w:rPr>
              <w:t>Tangible net income available to common stockholders (non-GAAP)</w:t>
            </w:r>
          </w:p>
        </w:tc>
        <w:tc>
          <w:tcPr>
            <w:tcW w:w="300" w:type="dxa"/>
            <w:vAlign w:val="bottom"/>
          </w:tcPr>
          <w:p>
            <w:pPr>
              <w:spacing w:after="0"/>
              <w:rPr>
                <w:sz w:val="11"/>
                <w:szCs w:val="11"/>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69,942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57,482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145,096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106"/>
              <w:spacing w:after="0"/>
              <w:rPr>
                <w:sz w:val="20"/>
                <w:szCs w:val="20"/>
                <w:color w:val="auto"/>
              </w:rPr>
            </w:pPr>
            <w:r>
              <w:rPr>
                <w:rFonts w:ascii="Arial" w:cs="Arial" w:eastAsia="Arial" w:hAnsi="Arial"/>
                <w:sz w:val="11"/>
                <w:szCs w:val="11"/>
                <w:color w:val="auto"/>
              </w:rPr>
              <w:t>171,109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Preferred stock dividends</w:t>
            </w:r>
          </w:p>
        </w:tc>
        <w:tc>
          <w:tcPr>
            <w:tcW w:w="3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468</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468</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1,406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1,406</w:t>
            </w:r>
          </w:p>
        </w:tc>
        <w:tc>
          <w:tcPr>
            <w:tcW w:w="0" w:type="dxa"/>
            <w:vAlign w:val="bottom"/>
          </w:tcPr>
          <w:p>
            <w:pPr>
              <w:spacing w:after="0"/>
              <w:rPr>
                <w:sz w:val="1"/>
                <w:szCs w:val="1"/>
                <w:color w:val="auto"/>
              </w:rPr>
            </w:pPr>
          </w:p>
        </w:tc>
      </w:tr>
      <w:tr>
        <w:trPr>
          <w:trHeight w:val="162"/>
        </w:trPr>
        <w:tc>
          <w:tcPr>
            <w:tcW w:w="5400" w:type="dxa"/>
            <w:vAlign w:val="bottom"/>
          </w:tcPr>
          <w:p>
            <w:pPr>
              <w:ind w:left="360"/>
              <w:spacing w:after="0"/>
              <w:rPr>
                <w:sz w:val="20"/>
                <w:szCs w:val="20"/>
                <w:color w:val="auto"/>
              </w:rPr>
            </w:pPr>
            <w:r>
              <w:rPr>
                <w:rFonts w:ascii="Arial" w:cs="Arial" w:eastAsia="Arial" w:hAnsi="Arial"/>
                <w:sz w:val="11"/>
                <w:szCs w:val="11"/>
                <w:color w:val="auto"/>
              </w:rPr>
              <w:t>Tangible net income (non-GAAP)</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70,410</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57,950</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146,502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172,515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Per Share Data:</w:t>
            </w: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400" w:type="dxa"/>
            <w:vAlign w:val="bottom"/>
          </w:tcPr>
          <w:p>
            <w:pPr>
              <w:ind w:left="360"/>
              <w:spacing w:after="0"/>
              <w:rPr>
                <w:sz w:val="20"/>
                <w:szCs w:val="20"/>
                <w:color w:val="auto"/>
              </w:rPr>
            </w:pPr>
            <w:r>
              <w:rPr>
                <w:rFonts w:ascii="Arial" w:cs="Arial" w:eastAsia="Arial" w:hAnsi="Arial"/>
                <w:sz w:val="11"/>
                <w:szCs w:val="11"/>
                <w:color w:val="auto"/>
              </w:rPr>
              <w:t>Diluted earnings per common share (GAAP)</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0.98</w:t>
            </w:r>
          </w:p>
        </w:tc>
        <w:tc>
          <w:tcPr>
            <w:tcW w:w="12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2.24</w:t>
            </w:r>
          </w:p>
        </w:tc>
        <w:tc>
          <w:tcPr>
            <w:tcW w:w="10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6"/>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Diluted tangible net income per common share (non-GAAP)</w:t>
            </w: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1.12</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1.00</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2.34</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2.96</w:t>
            </w:r>
          </w:p>
        </w:tc>
        <w:tc>
          <w:tcPr>
            <w:tcW w:w="0" w:type="dxa"/>
            <w:vAlign w:val="bottom"/>
          </w:tcPr>
          <w:p>
            <w:pPr>
              <w:spacing w:after="0"/>
              <w:rPr>
                <w:sz w:val="1"/>
                <w:szCs w:val="1"/>
                <w:color w:val="auto"/>
              </w:rPr>
            </w:pPr>
          </w:p>
        </w:tc>
      </w:tr>
      <w:tr>
        <w:trPr>
          <w:trHeight w:val="155"/>
        </w:trPr>
        <w:tc>
          <w:tcPr>
            <w:tcW w:w="5400" w:type="dxa"/>
            <w:vAlign w:val="bottom"/>
          </w:tcPr>
          <w:p>
            <w:pPr>
              <w:ind w:left="20"/>
              <w:spacing w:after="0"/>
              <w:rPr>
                <w:sz w:val="20"/>
                <w:szCs w:val="20"/>
                <w:color w:val="auto"/>
              </w:rPr>
            </w:pPr>
            <w:r>
              <w:rPr>
                <w:rFonts w:ascii="Arial" w:cs="Arial" w:eastAsia="Arial" w:hAnsi="Arial"/>
                <w:sz w:val="11"/>
                <w:szCs w:val="11"/>
                <w:b w:val="1"/>
                <w:bCs w:val="1"/>
                <w:color w:val="auto"/>
              </w:rPr>
              <w:t>Ratios:</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Return on average stockholders' equity (GAAP)</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10.07 %</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9.51 %</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6.91 %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9.51 %</w:t>
            </w:r>
          </w:p>
        </w:tc>
        <w:tc>
          <w:tcPr>
            <w:tcW w:w="0" w:type="dxa"/>
            <w:vAlign w:val="bottom"/>
          </w:tcPr>
          <w:p>
            <w:pPr>
              <w:spacing w:after="0"/>
              <w:rPr>
                <w:sz w:val="1"/>
                <w:szCs w:val="1"/>
                <w:color w:val="auto"/>
              </w:rPr>
            </w:pPr>
          </w:p>
        </w:tc>
      </w:tr>
      <w:tr>
        <w:trPr>
          <w:trHeight w:val="142"/>
        </w:trPr>
        <w:tc>
          <w:tcPr>
            <w:tcW w:w="5400" w:type="dxa"/>
            <w:vAlign w:val="bottom"/>
          </w:tcPr>
          <w:p>
            <w:pPr>
              <w:ind w:left="360"/>
              <w:spacing w:after="0"/>
              <w:rPr>
                <w:sz w:val="20"/>
                <w:szCs w:val="20"/>
                <w:color w:val="auto"/>
              </w:rPr>
            </w:pPr>
            <w:r>
              <w:rPr>
                <w:rFonts w:ascii="Arial" w:cs="Arial" w:eastAsia="Arial" w:hAnsi="Arial"/>
                <w:sz w:val="11"/>
                <w:szCs w:val="11"/>
                <w:color w:val="auto"/>
              </w:rPr>
              <w:t>Return on average tangible common stockholders' equity (non-GAAP)</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15.09 %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14.21 %</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10.43 %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14.27 %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Return on average assets (GAAP)</w:t>
            </w:r>
          </w:p>
        </w:tc>
        <w:tc>
          <w:tcPr>
            <w:tcW w:w="3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1.30 %</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1.22 %</w:t>
            </w: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0.90 %</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1.22 %</w:t>
            </w:r>
          </w:p>
        </w:tc>
        <w:tc>
          <w:tcPr>
            <w:tcW w:w="0" w:type="dxa"/>
            <w:vAlign w:val="bottom"/>
          </w:tcPr>
          <w:p>
            <w:pPr>
              <w:spacing w:after="0"/>
              <w:rPr>
                <w:sz w:val="1"/>
                <w:szCs w:val="1"/>
                <w:color w:val="auto"/>
              </w:rPr>
            </w:pPr>
          </w:p>
        </w:tc>
      </w:tr>
      <w:tr>
        <w:trPr>
          <w:trHeight w:val="142"/>
        </w:trPr>
        <w:tc>
          <w:tcPr>
            <w:tcW w:w="5400" w:type="dxa"/>
            <w:vAlign w:val="bottom"/>
          </w:tcPr>
          <w:p>
            <w:pPr>
              <w:ind w:left="360"/>
              <w:spacing w:after="0"/>
              <w:rPr>
                <w:sz w:val="20"/>
                <w:szCs w:val="20"/>
                <w:color w:val="auto"/>
              </w:rPr>
            </w:pPr>
            <w:r>
              <w:rPr>
                <w:rFonts w:ascii="Arial" w:cs="Arial" w:eastAsia="Arial" w:hAnsi="Arial"/>
                <w:sz w:val="11"/>
                <w:szCs w:val="11"/>
                <w:color w:val="auto"/>
              </w:rPr>
              <w:t>Return on average tangible assets (non-GAAP)</w:t>
            </w: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1.39 %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1.29 %</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0.97 %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1.29 %</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Return on average tangible common stockholders' equity is tangible net income available to common stockholders (annualized) expressed as a percentage of average tangible common stockholders' equity. Return on average tangible assets is tangible net income (annualized) expressed as a percentage of average tangible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400" w:type="dxa"/>
            <w:vAlign w:val="bottom"/>
          </w:tcPr>
          <w:p>
            <w:pPr>
              <w:ind w:left="20"/>
              <w:spacing w:after="0"/>
              <w:rPr>
                <w:sz w:val="20"/>
                <w:szCs w:val="20"/>
                <w:color w:val="auto"/>
              </w:rPr>
            </w:pPr>
            <w:r>
              <w:rPr>
                <w:rFonts w:ascii="Arial" w:cs="Arial" w:eastAsia="Arial" w:hAnsi="Arial"/>
                <w:sz w:val="11"/>
                <w:szCs w:val="11"/>
                <w:b w:val="1"/>
                <w:bCs w:val="1"/>
                <w:color w:val="auto"/>
              </w:rPr>
              <w:t>EFFICIENCY RATIO (NON-GAAP)</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0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400" w:type="dxa"/>
            <w:vAlign w:val="bottom"/>
          </w:tcPr>
          <w:p>
            <w:pPr>
              <w:spacing w:after="0"/>
              <w:rPr>
                <w:sz w:val="14"/>
                <w:szCs w:val="14"/>
                <w:color w:val="auto"/>
              </w:rPr>
            </w:pPr>
          </w:p>
        </w:tc>
        <w:tc>
          <w:tcPr>
            <w:tcW w:w="2980" w:type="dxa"/>
            <w:vAlign w:val="bottom"/>
            <w:gridSpan w:val="6"/>
          </w:tcPr>
          <w:p>
            <w:pPr>
              <w:ind w:left="520"/>
              <w:spacing w:after="0"/>
              <w:rPr>
                <w:sz w:val="20"/>
                <w:szCs w:val="20"/>
                <w:color w:val="auto"/>
              </w:rPr>
            </w:pPr>
            <w:r>
              <w:rPr>
                <w:rFonts w:ascii="Arial" w:cs="Arial" w:eastAsia="Arial" w:hAnsi="Arial"/>
                <w:sz w:val="11"/>
                <w:szCs w:val="11"/>
                <w:b w:val="1"/>
                <w:bCs w:val="1"/>
                <w:color w:val="auto"/>
              </w:rPr>
              <w:t>Three Months Ended September 30,</w:t>
            </w:r>
          </w:p>
        </w:tc>
        <w:tc>
          <w:tcPr>
            <w:tcW w:w="300" w:type="dxa"/>
            <w:vAlign w:val="bottom"/>
          </w:tcPr>
          <w:p>
            <w:pPr>
              <w:spacing w:after="0"/>
              <w:rPr>
                <w:sz w:val="14"/>
                <w:szCs w:val="14"/>
                <w:color w:val="auto"/>
              </w:rPr>
            </w:pPr>
          </w:p>
        </w:tc>
        <w:tc>
          <w:tcPr>
            <w:tcW w:w="2560" w:type="dxa"/>
            <w:vAlign w:val="bottom"/>
            <w:gridSpan w:val="4"/>
          </w:tcPr>
          <w:p>
            <w:pPr>
              <w:jc w:val="right"/>
              <w:ind w:right="486"/>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4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2"/>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Noninterest expense (GAAP)</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116,254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96,561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356,746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283,061</w:t>
            </w:r>
          </w:p>
        </w:tc>
        <w:tc>
          <w:tcPr>
            <w:tcW w:w="0" w:type="dxa"/>
            <w:vAlign w:val="bottom"/>
          </w:tcPr>
          <w:p>
            <w:pPr>
              <w:spacing w:after="0"/>
              <w:rPr>
                <w:sz w:val="1"/>
                <w:szCs w:val="1"/>
                <w:color w:val="auto"/>
              </w:rPr>
            </w:pPr>
          </w:p>
        </w:tc>
      </w:tr>
      <w:tr>
        <w:trPr>
          <w:trHeight w:val="142"/>
        </w:trPr>
        <w:tc>
          <w:tcPr>
            <w:tcW w:w="5400" w:type="dxa"/>
            <w:vAlign w:val="bottom"/>
          </w:tcPr>
          <w:p>
            <w:pPr>
              <w:ind w:left="20"/>
              <w:spacing w:after="0"/>
              <w:rPr>
                <w:sz w:val="20"/>
                <w:szCs w:val="20"/>
                <w:color w:val="auto"/>
              </w:rPr>
            </w:pPr>
            <w:r>
              <w:rPr>
                <w:rFonts w:ascii="Arial" w:cs="Arial" w:eastAsia="Arial" w:hAnsi="Arial"/>
                <w:sz w:val="11"/>
                <w:szCs w:val="11"/>
                <w:color w:val="auto"/>
              </w:rPr>
              <w:t>Less: Intangible asset amortization</w:t>
            </w:r>
          </w:p>
        </w:tc>
        <w:tc>
          <w:tcPr>
            <w:tcW w:w="8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(2,652)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(1,499)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(7,660)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(4,530)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Less: Other real estate owned and foreclosure expenses</w:t>
            </w:r>
          </w:p>
        </w:tc>
        <w:tc>
          <w:tcPr>
            <w:tcW w:w="8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(1,594)</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(3,746)</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(750)</w:t>
            </w:r>
          </w:p>
        </w:tc>
        <w:tc>
          <w:tcPr>
            <w:tcW w:w="0" w:type="dxa"/>
            <w:vAlign w:val="bottom"/>
          </w:tcPr>
          <w:p>
            <w:pPr>
              <w:spacing w:after="0"/>
              <w:rPr>
                <w:sz w:val="1"/>
                <w:szCs w:val="1"/>
                <w:color w:val="auto"/>
              </w:rPr>
            </w:pPr>
          </w:p>
        </w:tc>
      </w:tr>
      <w:tr>
        <w:trPr>
          <w:trHeight w:val="149"/>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Adjusted noninterest expense (non-GAAP)</w:t>
            </w:r>
          </w:p>
        </w:tc>
        <w:tc>
          <w:tcPr>
            <w:tcW w:w="82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112,008</w:t>
            </w:r>
          </w:p>
        </w:tc>
        <w:tc>
          <w:tcPr>
            <w:tcW w:w="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94,941</w:t>
            </w:r>
          </w:p>
        </w:tc>
        <w:tc>
          <w:tcPr>
            <w:tcW w:w="1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345,340</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277,781</w:t>
            </w:r>
          </w:p>
        </w:tc>
        <w:tc>
          <w:tcPr>
            <w:tcW w:w="0" w:type="dxa"/>
            <w:vAlign w:val="bottom"/>
          </w:tcPr>
          <w:p>
            <w:pPr>
              <w:spacing w:after="0"/>
              <w:rPr>
                <w:sz w:val="1"/>
                <w:szCs w:val="1"/>
                <w:color w:val="auto"/>
              </w:rPr>
            </w:pPr>
          </w:p>
        </w:tc>
      </w:tr>
      <w:tr>
        <w:trPr>
          <w:trHeight w:val="149"/>
        </w:trPr>
        <w:tc>
          <w:tcPr>
            <w:tcW w:w="5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400" w:type="dxa"/>
            <w:vAlign w:val="bottom"/>
          </w:tcPr>
          <w:p>
            <w:pPr>
              <w:ind w:left="20"/>
              <w:spacing w:after="0"/>
              <w:rPr>
                <w:sz w:val="20"/>
                <w:szCs w:val="20"/>
                <w:color w:val="auto"/>
              </w:rPr>
            </w:pPr>
            <w:r>
              <w:rPr>
                <w:rFonts w:ascii="Arial" w:cs="Arial" w:eastAsia="Arial" w:hAnsi="Arial"/>
                <w:sz w:val="11"/>
                <w:szCs w:val="11"/>
                <w:color w:val="auto"/>
              </w:rPr>
              <w:t>Net interest income (GAAP)</w:t>
            </w: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161,068</w:t>
            </w:r>
          </w:p>
        </w:tc>
        <w:tc>
          <w:tcPr>
            <w:tcW w:w="12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133,665</w:t>
            </w:r>
          </w:p>
        </w:tc>
        <w:tc>
          <w:tcPr>
            <w:tcW w:w="12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471,312</w:t>
            </w:r>
          </w:p>
        </w:tc>
        <w:tc>
          <w:tcPr>
            <w:tcW w:w="10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6"/>
              <w:spacing w:after="0"/>
              <w:rPr>
                <w:sz w:val="20"/>
                <w:szCs w:val="20"/>
                <w:color w:val="auto"/>
              </w:rPr>
            </w:pPr>
            <w:r>
              <w:rPr>
                <w:rFonts w:ascii="Arial" w:cs="Arial" w:eastAsia="Arial" w:hAnsi="Arial"/>
                <w:sz w:val="11"/>
                <w:szCs w:val="11"/>
                <w:color w:val="auto"/>
              </w:rPr>
              <w:t>396,949</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Plus: FTE adjustment</w:t>
            </w:r>
          </w:p>
        </w:tc>
        <w:tc>
          <w:tcPr>
            <w:tcW w:w="8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6,260</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6,209</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19,045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18,535</w:t>
            </w:r>
          </w:p>
        </w:tc>
        <w:tc>
          <w:tcPr>
            <w:tcW w:w="0" w:type="dxa"/>
            <w:vAlign w:val="bottom"/>
          </w:tcPr>
          <w:p>
            <w:pPr>
              <w:spacing w:after="0"/>
              <w:rPr>
                <w:sz w:val="1"/>
                <w:szCs w:val="1"/>
                <w:color w:val="auto"/>
              </w:rPr>
            </w:pPr>
          </w:p>
        </w:tc>
      </w:tr>
      <w:tr>
        <w:trPr>
          <w:trHeight w:val="149"/>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Net interest income (FTE) (non-GAAP)</w:t>
            </w:r>
          </w:p>
        </w:tc>
        <w:tc>
          <w:tcPr>
            <w:tcW w:w="82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167,328</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139,874</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490,357</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415,484</w:t>
            </w: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ind w:left="20"/>
              <w:spacing w:after="0"/>
              <w:rPr>
                <w:sz w:val="20"/>
                <w:szCs w:val="20"/>
                <w:color w:val="auto"/>
              </w:rPr>
            </w:pPr>
            <w:r>
              <w:rPr>
                <w:rFonts w:ascii="Arial" w:cs="Arial" w:eastAsia="Arial" w:hAnsi="Arial"/>
                <w:sz w:val="11"/>
                <w:szCs w:val="11"/>
                <w:color w:val="auto"/>
              </w:rPr>
              <w:t>Noninterest income (GAAP)</w:t>
            </w: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38,005</w:t>
            </w:r>
          </w:p>
        </w:tc>
        <w:tc>
          <w:tcPr>
            <w:tcW w:w="12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32,477</w:t>
            </w:r>
          </w:p>
        </w:tc>
        <w:tc>
          <w:tcPr>
            <w:tcW w:w="12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80,990</w:t>
            </w:r>
          </w:p>
        </w:tc>
        <w:tc>
          <w:tcPr>
            <w:tcW w:w="10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6"/>
              <w:spacing w:after="0"/>
              <w:rPr>
                <w:sz w:val="20"/>
                <w:szCs w:val="20"/>
                <w:color w:val="auto"/>
              </w:rPr>
            </w:pPr>
            <w:r>
              <w:rPr>
                <w:rFonts w:ascii="Arial" w:cs="Arial" w:eastAsia="Arial" w:hAnsi="Arial"/>
                <w:sz w:val="11"/>
                <w:szCs w:val="11"/>
                <w:color w:val="auto"/>
              </w:rPr>
              <w:t>93,828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Less: Net realized losses on sales of available for sale securities</w:t>
            </w:r>
          </w:p>
        </w:tc>
        <w:tc>
          <w:tcPr>
            <w:tcW w:w="8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9"/>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Adjusted noninterest income (non-GAAP)</w:t>
            </w:r>
          </w:p>
        </w:tc>
        <w:tc>
          <w:tcPr>
            <w:tcW w:w="82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38,005</w:t>
            </w:r>
          </w:p>
        </w:tc>
        <w:tc>
          <w:tcPr>
            <w:tcW w:w="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32,477</w:t>
            </w:r>
          </w:p>
        </w:tc>
        <w:tc>
          <w:tcPr>
            <w:tcW w:w="1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80,990</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93,836</w:t>
            </w:r>
          </w:p>
        </w:tc>
        <w:tc>
          <w:tcPr>
            <w:tcW w:w="0" w:type="dxa"/>
            <w:vAlign w:val="bottom"/>
          </w:tcPr>
          <w:p>
            <w:pPr>
              <w:spacing w:after="0"/>
              <w:rPr>
                <w:sz w:val="1"/>
                <w:szCs w:val="1"/>
                <w:color w:val="auto"/>
              </w:rPr>
            </w:pPr>
          </w:p>
        </w:tc>
      </w:tr>
      <w:tr>
        <w:trPr>
          <w:trHeight w:val="187"/>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Adjusted revenue (non-GAAP)</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205,333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172,351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571,347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509,320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1"/>
                <w:szCs w:val="11"/>
                <w:color w:val="auto"/>
              </w:rPr>
              <w:t>Efficiency ratio (non-GAAP)</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4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jc w:val="right"/>
              <w:spacing w:after="0" w:line="116" w:lineRule="exact"/>
              <w:rPr>
                <w:sz w:val="20"/>
                <w:szCs w:val="20"/>
                <w:color w:val="auto"/>
              </w:rPr>
            </w:pPr>
            <w:r>
              <w:rPr>
                <w:rFonts w:ascii="Arial" w:cs="Arial" w:eastAsia="Arial" w:hAnsi="Arial"/>
                <w:sz w:val="11"/>
                <w:szCs w:val="11"/>
                <w:color w:val="auto"/>
              </w:rPr>
              <w:t>54.55 %</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line="116" w:lineRule="exact"/>
              <w:rPr>
                <w:sz w:val="20"/>
                <w:szCs w:val="20"/>
                <w:color w:val="auto"/>
              </w:rPr>
            </w:pPr>
            <w:r>
              <w:rPr>
                <w:rFonts w:ascii="Arial" w:cs="Arial" w:eastAsia="Arial" w:hAnsi="Arial"/>
                <w:sz w:val="11"/>
                <w:szCs w:val="11"/>
                <w:color w:val="auto"/>
              </w:rPr>
              <w:t>55.09 %</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jc w:val="right"/>
              <w:spacing w:after="0" w:line="116" w:lineRule="exact"/>
              <w:rPr>
                <w:sz w:val="20"/>
                <w:szCs w:val="20"/>
                <w:color w:val="auto"/>
              </w:rPr>
            </w:pPr>
            <w:r>
              <w:rPr>
                <w:rFonts w:ascii="Arial" w:cs="Arial" w:eastAsia="Arial" w:hAnsi="Arial"/>
                <w:sz w:val="11"/>
                <w:szCs w:val="11"/>
                <w:color w:val="auto"/>
              </w:rPr>
              <w:t>60.44 %</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spacing w:after="0" w:line="116" w:lineRule="exact"/>
              <w:rPr>
                <w:sz w:val="20"/>
                <w:szCs w:val="20"/>
                <w:color w:val="auto"/>
              </w:rPr>
            </w:pPr>
            <w:r>
              <w:rPr>
                <w:rFonts w:ascii="Arial" w:cs="Arial" w:eastAsia="Arial" w:hAnsi="Arial"/>
                <w:sz w:val="11"/>
                <w:szCs w:val="11"/>
                <w:color w:val="auto"/>
              </w:rPr>
              <w:t>54.54 %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INTEREST INCOME</w:t>
      </w:r>
    </w:p>
    <w:p>
      <w:pPr>
        <w:spacing w:after="0" w:line="258"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Net interest income is the most significant component of the Corporation's earnings, comprising 85.3 percent of total revenue for the nine months ended September 30, 2026. Net interest income and net interest margin are influenced by the volume and mix of earning assets and funding sources, as well as prevailing interest rate conditions. Other factors include accretion income on purchased loans, prepayment activity and the composition and maturity of earning assets and interest-bearing liabilities. Loans typically generate more interest income than investment securities with similar maturities. Funding from customer deposits generally costs less than wholesale funding sources. Factors such as general economic activity, the Federal Reserve's monetary policy, and changes in the pricing of competing investment alternatives can also exert significant influence on the Corporation's ability to optimize the mix of assets and funding to maximize net interest income and net interest margin.</w:t>
      </w:r>
    </w:p>
    <w:p>
      <w:pPr>
        <w:spacing w:after="0" w:line="212"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Net interest income is the excess of interest earned on earning assets over interest expense incurred on interest-bearing liabilities. For analytical purposes, net interest income is also presented on an FTE basis in the tables that follow, which adjusts tax-exempt income to a taxable-equivalent amount to facilitate comparison with taxable assets. The federal statutory income tax rate of 21 percent was used for 2026 and 2025. For reconciliations of GAAP net interest margin to the corresponding non-GAAP measure provided below, refer to the "NON-GAAP FINANCIAL MEASURES" section of this Management's Discussion and Analysis of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Average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September 30, 2026 and 2025</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Total average earning assets increased $2.1 billion, or 12.4 percent, to $19.4 billion for the three months ended September 30, 2026, compared to the same period in 2025. This increase was primarily driven by a $2.3 billion, or 17.0 percent, increase in average total loans, including loans held for sale, reflecting the impact of loans acquired from First Savings on February 1, 2026, which totaled approximately $1.8 billion at acquisition, as well as organic loan growth of $531.8 million. Average commercial loans and HELOC and installment loans increased $1.7 billion and $466.1 million, respectively. These increases were partially offset by a $163.5 million decline in average investment securities.</w:t>
      </w:r>
    </w:p>
    <w:p>
      <w:pPr>
        <w:spacing w:after="0" w:line="210" w:lineRule="exact"/>
        <w:rPr>
          <w:sz w:val="20"/>
          <w:szCs w:val="20"/>
          <w:color w:val="auto"/>
        </w:rPr>
      </w:pPr>
    </w:p>
    <w:p>
      <w:pPr>
        <w:ind w:right="160"/>
        <w:spacing w:after="0" w:line="176" w:lineRule="exact"/>
        <w:rPr>
          <w:sz w:val="20"/>
          <w:szCs w:val="20"/>
          <w:color w:val="auto"/>
        </w:rPr>
      </w:pPr>
      <w:r>
        <w:rPr>
          <w:rFonts w:ascii="Arial" w:cs="Arial" w:eastAsia="Arial" w:hAnsi="Arial"/>
          <w:sz w:val="14"/>
          <w:szCs w:val="14"/>
          <w:color w:val="auto"/>
        </w:rPr>
        <w:t>Total average deposits increased $2.0 billion year-over-year, reflecting the impact of deposits acquired from First Savings and $598.0 million of organic deposit growth. At acquisition, deposits acquired from First Savings totaled $1.7 billion. Total average interest-bearing deposits increased $373.8 million, driven primarily by higher money market deposit balances, partially offset by lower checking deposit balances. The decrease in checking deposit balances reflected changes to the Corporation’s deposit product offerings, under which certain accounts that previously earned interest were intentionally transitioned to noninterest-bearing products. Average noninterest</w:t>
      </w:r>
      <w:r>
        <w:rPr>
          <w:rFonts w:ascii="MS PGothic" w:cs="MS PGothic" w:eastAsia="MS PGothic" w:hAnsi="MS PGothic"/>
          <w:sz w:val="14"/>
          <w:szCs w:val="14"/>
          <w:color w:val="auto"/>
        </w:rPr>
        <w:t>‑</w:t>
      </w:r>
      <w:r>
        <w:rPr>
          <w:rFonts w:ascii="Arial" w:cs="Arial" w:eastAsia="Arial" w:hAnsi="Arial"/>
          <w:sz w:val="14"/>
          <w:szCs w:val="14"/>
          <w:color w:val="auto"/>
        </w:rPr>
        <w:t>bearing deposits increased $1.6 billion, consistent with those product offering changes. Average borrowings increased $119.4 million, primarily driven by higher FHLB advances, including advances assumed in connection with the First Savings acquisition, and borrowings used to support balance sheet growth and liquidity needs.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Nine months ended September 30, 2026 and 2025</w:t>
      </w:r>
    </w:p>
    <w:p>
      <w:pPr>
        <w:spacing w:after="0" w:line="256"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Total average earning assets increased $2.2 billion, or 12.6 percent, to $19.3 billion for the nine months ended September 30, 2026, compared to the same period in 2025. This increase was primarily driven by a $2.3 billion, or 17.5 percent, increase in average total loans, including loans held for sale, reflecting the impact of loans acquired from First Savings on February 1, 2026, which totaled approximately $1.8 billion at acquisition. Loans increased organically by $585.9 million during the nine months ended September 30, 2026. Average commercial loans and HELOC and installment loans increased $1.7 billion and $403.2 million, respectively. These increases were partially offset by a $146.5 million decline in average investment securities.</w:t>
      </w:r>
    </w:p>
    <w:p>
      <w:pPr>
        <w:spacing w:after="0" w:line="211" w:lineRule="exact"/>
        <w:rPr>
          <w:sz w:val="20"/>
          <w:szCs w:val="20"/>
          <w:color w:val="auto"/>
        </w:rPr>
      </w:pPr>
    </w:p>
    <w:p>
      <w:pPr>
        <w:ind w:right="120"/>
        <w:spacing w:after="0" w:line="176" w:lineRule="exact"/>
        <w:rPr>
          <w:sz w:val="20"/>
          <w:szCs w:val="20"/>
          <w:color w:val="auto"/>
        </w:rPr>
      </w:pPr>
      <w:r>
        <w:rPr>
          <w:rFonts w:ascii="Arial" w:cs="Arial" w:eastAsia="Arial" w:hAnsi="Arial"/>
          <w:sz w:val="14"/>
          <w:szCs w:val="14"/>
          <w:color w:val="auto"/>
        </w:rPr>
        <w:t>Total average deposits increased $1.9 billion year-over-year, reflecting the impact of the First Savings acquisition, which added $1.7 billion of deposits at acquisition, as well as $584.0 million of organic deposit growth. Total average interest-bearing deposits increased $744.4 million, driven primarily by higher money market deposit balances, partially offset by lower checking deposit balances. The decrease in checking deposit balances reflected changes to the Corporation’s deposit product offerings, under which certain accounts that previously earned interest were intentionally transitioned to noninterest-bearing products. Average noninterest</w:t>
      </w:r>
      <w:r>
        <w:rPr>
          <w:rFonts w:ascii="MS PGothic" w:cs="MS PGothic" w:eastAsia="MS PGothic" w:hAnsi="MS PGothic"/>
          <w:sz w:val="14"/>
          <w:szCs w:val="14"/>
          <w:color w:val="auto"/>
        </w:rPr>
        <w:t>‑</w:t>
      </w:r>
      <w:r>
        <w:rPr>
          <w:rFonts w:ascii="Arial" w:cs="Arial" w:eastAsia="Arial" w:hAnsi="Arial"/>
          <w:sz w:val="14"/>
          <w:szCs w:val="14"/>
          <w:color w:val="auto"/>
        </w:rPr>
        <w:t>bearing deposits increased $1.1 billion, consistent with those product offering changes. Average borrowings increased $218.1 million, primarily driven by higher FHLB advances, including advances assumed in connection with the First Savings acquisition, partially offset by lower repurchase agreement balances.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Income/Expense and Average Yields</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September 30, 2026 and 2025</w:t>
      </w:r>
    </w:p>
    <w:p>
      <w:pPr>
        <w:spacing w:after="0" w:line="242"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Net interest income on an FTE basis increased $27.5 million, or 19.6 percent, to $167.3 million for the three months ended September 30, 2026, compared to $139.9 million for the three months ended September 30, 2025. Net interest margin on an FTE basis increased 20 basis points to 3.44 percent from 3.24 percent in the prior-year quarter. The increase primarily reflects a 22 basis point decline in interest expense as a percentage of average earning assets, including the benefit of a more favorable funding mix and higher average noninterest-bearing deposits, partially offset by a two basis point decline in the yield on average earning assets. The yield on average earning assets decreased two basis points to 5.56 percent from 5.58 percent, while the cost of interest-bearing liabilities decreased seven basis points to 2.87 percent from 2.94 percent. The Corporation recognized $4.0 million of fair value accretion income from purchased loans during the quarter, which contributed approximately eight basis points to net interest margin during the three months ended September 30, 2026. This compares to $0.9 million, or two basis points, in the same period of 2025.</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jc w:val="both"/>
        <w:ind w:right="180"/>
        <w:spacing w:after="0" w:line="187" w:lineRule="exact"/>
        <w:rPr>
          <w:sz w:val="20"/>
          <w:szCs w:val="20"/>
          <w:color w:val="auto"/>
        </w:rPr>
      </w:pPr>
      <w:r>
        <w:rPr>
          <w:rFonts w:ascii="Arial" w:cs="Arial" w:eastAsia="Arial" w:hAnsi="Arial"/>
          <w:sz w:val="14"/>
          <w:szCs w:val="14"/>
          <w:color w:val="auto"/>
        </w:rPr>
        <w:t>Interest income on an FTE basis increased $28.9 million compared to the same period in the prior year, driven primarily by a $2.1 billion increase in average earning assets, which reflected the contribution of loans acquired from First Savings and growth in average loan balances across the commercial, HELOC and installment portfolios. Average loans increased $2.3 billion, or 17.0 percent, year</w:t>
      </w:r>
      <w:r>
        <w:rPr>
          <w:rFonts w:ascii="MS PGothic" w:cs="MS PGothic" w:eastAsia="MS PGothic" w:hAnsi="MS PGothic"/>
          <w:sz w:val="14"/>
          <w:szCs w:val="14"/>
          <w:color w:val="auto"/>
        </w:rPr>
        <w:t>‑</w:t>
      </w:r>
      <w:r>
        <w:rPr>
          <w:rFonts w:ascii="Arial" w:cs="Arial" w:eastAsia="Arial" w:hAnsi="Arial"/>
          <w:sz w:val="14"/>
          <w:szCs w:val="14"/>
          <w:color w:val="auto"/>
        </w:rPr>
        <w:t>over</w:t>
      </w:r>
      <w:r>
        <w:rPr>
          <w:rFonts w:ascii="MS PGothic" w:cs="MS PGothic" w:eastAsia="MS PGothic" w:hAnsi="MS PGothic"/>
          <w:sz w:val="14"/>
          <w:szCs w:val="14"/>
          <w:color w:val="auto"/>
        </w:rPr>
        <w:t>‑</w:t>
      </w:r>
      <w:r>
        <w:rPr>
          <w:rFonts w:ascii="Arial" w:cs="Arial" w:eastAsia="Arial" w:hAnsi="Arial"/>
          <w:sz w:val="14"/>
          <w:szCs w:val="14"/>
          <w:color w:val="auto"/>
        </w:rPr>
        <w:t>year, more than offsetting lower average balances in cash and investment securities.</w:t>
      </w:r>
    </w:p>
    <w:p>
      <w:pPr>
        <w:spacing w:after="0" w:line="165" w:lineRule="exact"/>
        <w:rPr>
          <w:sz w:val="20"/>
          <w:szCs w:val="20"/>
          <w:color w:val="auto"/>
        </w:rPr>
      </w:pPr>
    </w:p>
    <w:p>
      <w:pPr>
        <w:spacing w:after="0" w:line="185" w:lineRule="exact"/>
        <w:rPr>
          <w:sz w:val="20"/>
          <w:szCs w:val="20"/>
          <w:color w:val="auto"/>
        </w:rPr>
      </w:pPr>
      <w:r>
        <w:rPr>
          <w:rFonts w:ascii="Arial" w:cs="Arial" w:eastAsia="Arial" w:hAnsi="Arial"/>
          <w:sz w:val="14"/>
          <w:szCs w:val="14"/>
          <w:color w:val="auto"/>
        </w:rPr>
        <w:t>Interest expense on deposits increased $0.5 million compared to the prior year period, reflecting a $373.8 million increase in average interest</w:t>
      </w:r>
      <w:r>
        <w:rPr>
          <w:rFonts w:ascii="MS PGothic" w:cs="MS PGothic" w:eastAsia="MS PGothic" w:hAnsi="MS PGothic"/>
          <w:sz w:val="14"/>
          <w:szCs w:val="14"/>
          <w:color w:val="auto"/>
        </w:rPr>
        <w:t>‑</w:t>
      </w:r>
      <w:r>
        <w:rPr>
          <w:rFonts w:ascii="Arial" w:cs="Arial" w:eastAsia="Arial" w:hAnsi="Arial"/>
          <w:sz w:val="14"/>
          <w:szCs w:val="14"/>
          <w:color w:val="auto"/>
        </w:rPr>
        <w:t>bearing deposit balances, partially offset by lower deposit pricing across most deposit categories. Lower average rates on money market, savings deposits, and time deposits reduced interest expense and favorably impacted margin. Borrowing expense increased due to higher average borrowing balances, partially offset by lower average borrowing costs. Overall, the seven basis point decline in the cost of interest-bearing liabilities exceeded the two basis point decline in the yield on average earning assets, resulting in a five basis point increase in the FTE net interest spread to 2.69 percent from 2.64 percent in the prior-year quarter.</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Nine months ended September 30, 2026 and 2025</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Net interest income on an FTE basis increased $74.9 million, or 18.0 percent, to $490.4 million for the nine months ended September 30, 2026, compared to $415.5 million for the nine months ended September 30, 2025. Net interest margin on an FTE basis increased 16 basis points to 3.39 percent from 3.23 percent in the prior-year period. The improvement primarily reflected lower funding costs and a more favorable funding mix, partially offset by a one basis point decline in the yield on average earning assets. The Corporation recognized $10.5 million of fair value accretion income from purchased loans during the nine months, which contributed approximately seven basis points to net interest margin during the nine months ended September 30, 2026. This compares to $3.0 million, or two basis points, in the same period of 2025.</w:t>
      </w:r>
    </w:p>
    <w:p>
      <w:pPr>
        <w:spacing w:after="0" w:line="205" w:lineRule="exact"/>
        <w:rPr>
          <w:sz w:val="20"/>
          <w:szCs w:val="20"/>
          <w:color w:val="auto"/>
        </w:rPr>
      </w:pPr>
    </w:p>
    <w:p>
      <w:pPr>
        <w:jc w:val="both"/>
        <w:ind w:right="180"/>
        <w:spacing w:after="0" w:line="187" w:lineRule="exact"/>
        <w:rPr>
          <w:sz w:val="20"/>
          <w:szCs w:val="20"/>
          <w:color w:val="auto"/>
        </w:rPr>
      </w:pPr>
      <w:r>
        <w:rPr>
          <w:rFonts w:ascii="Arial" w:cs="Arial" w:eastAsia="Arial" w:hAnsi="Arial"/>
          <w:sz w:val="14"/>
          <w:szCs w:val="14"/>
          <w:color w:val="auto"/>
        </w:rPr>
        <w:t>Interest income on an FTE basis increased $86.5 million compared to the same period in the prior year, driven primarily by a $2.2 billion increase in average earning assets, which reflected the contribution of loans acquired from First Savings and growth in average loan balances across the commercial, HELOC and installment portfolios. Average loans increased $2.3 billion, or 17.5 percent, year</w:t>
      </w:r>
      <w:r>
        <w:rPr>
          <w:rFonts w:ascii="MS PGothic" w:cs="MS PGothic" w:eastAsia="MS PGothic" w:hAnsi="MS PGothic"/>
          <w:sz w:val="14"/>
          <w:szCs w:val="14"/>
          <w:color w:val="auto"/>
        </w:rPr>
        <w:t>‑</w:t>
      </w:r>
      <w:r>
        <w:rPr>
          <w:rFonts w:ascii="Arial" w:cs="Arial" w:eastAsia="Arial" w:hAnsi="Arial"/>
          <w:sz w:val="14"/>
          <w:szCs w:val="14"/>
          <w:color w:val="auto"/>
        </w:rPr>
        <w:t>over</w:t>
      </w:r>
      <w:r>
        <w:rPr>
          <w:rFonts w:ascii="MS PGothic" w:cs="MS PGothic" w:eastAsia="MS PGothic" w:hAnsi="MS PGothic"/>
          <w:sz w:val="14"/>
          <w:szCs w:val="14"/>
          <w:color w:val="auto"/>
        </w:rPr>
        <w:t>‑</w:t>
      </w:r>
      <w:r>
        <w:rPr>
          <w:rFonts w:ascii="Arial" w:cs="Arial" w:eastAsia="Arial" w:hAnsi="Arial"/>
          <w:sz w:val="14"/>
          <w:szCs w:val="14"/>
          <w:color w:val="auto"/>
        </w:rPr>
        <w:t>year, more than offsetting lower average balances in cash and investment securities.</w:t>
      </w:r>
    </w:p>
    <w:p>
      <w:pPr>
        <w:spacing w:after="0" w:line="165" w:lineRule="exact"/>
        <w:rPr>
          <w:sz w:val="20"/>
          <w:szCs w:val="20"/>
          <w:color w:val="auto"/>
        </w:rPr>
      </w:pPr>
    </w:p>
    <w:p>
      <w:pPr>
        <w:jc w:val="both"/>
        <w:spacing w:after="0" w:line="185" w:lineRule="exact"/>
        <w:rPr>
          <w:sz w:val="20"/>
          <w:szCs w:val="20"/>
          <w:color w:val="auto"/>
        </w:rPr>
      </w:pPr>
      <w:r>
        <w:rPr>
          <w:rFonts w:ascii="Arial" w:cs="Arial" w:eastAsia="Arial" w:hAnsi="Arial"/>
          <w:sz w:val="14"/>
          <w:szCs w:val="14"/>
          <w:color w:val="auto"/>
        </w:rPr>
        <w:t>Interest expense on deposits increased $6.1 million compared to the prior year period, reflecting a $744.4 million increase in average interest</w:t>
      </w:r>
      <w:r>
        <w:rPr>
          <w:rFonts w:ascii="MS PGothic" w:cs="MS PGothic" w:eastAsia="MS PGothic" w:hAnsi="MS PGothic"/>
          <w:sz w:val="14"/>
          <w:szCs w:val="14"/>
          <w:color w:val="auto"/>
        </w:rPr>
        <w:t>‑</w:t>
      </w:r>
      <w:r>
        <w:rPr>
          <w:rFonts w:ascii="Arial" w:cs="Arial" w:eastAsia="Arial" w:hAnsi="Arial"/>
          <w:sz w:val="14"/>
          <w:szCs w:val="14"/>
          <w:color w:val="auto"/>
        </w:rPr>
        <w:t>bearing deposit balances, partially offset by lower deposit pricing across most deposit categories. The total cost of interest</w:t>
      </w:r>
      <w:r>
        <w:rPr>
          <w:rFonts w:ascii="MS PGothic" w:cs="MS PGothic" w:eastAsia="MS PGothic" w:hAnsi="MS PGothic"/>
          <w:sz w:val="14"/>
          <w:szCs w:val="14"/>
          <w:color w:val="auto"/>
        </w:rPr>
        <w:t>‑</w:t>
      </w:r>
      <w:r>
        <w:rPr>
          <w:rFonts w:ascii="Arial" w:cs="Arial" w:eastAsia="Arial" w:hAnsi="Arial"/>
          <w:sz w:val="14"/>
          <w:szCs w:val="14"/>
          <w:color w:val="auto"/>
        </w:rPr>
        <w:t>bearing liabilities declined seven basis points to 2.76 percent for the nine months ended September 30, 2026, from 2.83 percent for the nine months ended September 30, 2025. Lower average rates on core deposit products reduced interest expense and favorably impacted margin, while higher average borrowings partially offset these benefits, despite lower average borrowing costs. Overall, the reduction in funding costs more than offset relatively stable asset yields and resulted in a six basis point improvement in the FTE net interest spread to 2.72 percent from 2.66 percent in the prior-year period.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ind w:right="900"/>
        <w:spacing w:after="0" w:line="285" w:lineRule="auto"/>
        <w:rPr>
          <w:sz w:val="20"/>
          <w:szCs w:val="20"/>
          <w:color w:val="auto"/>
        </w:rPr>
      </w:pPr>
      <w:r>
        <w:rPr>
          <w:rFonts w:ascii="Arial" w:cs="Arial" w:eastAsia="Arial" w:hAnsi="Arial"/>
          <w:sz w:val="14"/>
          <w:szCs w:val="14"/>
          <w:color w:val="auto"/>
        </w:rPr>
        <w:t>The following tables present the Corporation’s average balance sheet, interest income and interest expense, and the average rate as a percent of average earning assets/liabilities for the three and nine months ended September 30, 2026 and 2025.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60" w:type="dxa"/>
            <w:vAlign w:val="bottom"/>
          </w:tcPr>
          <w:p>
            <w:pPr>
              <w:ind w:left="60"/>
              <w:spacing w:after="0"/>
              <w:rPr>
                <w:sz w:val="20"/>
                <w:szCs w:val="20"/>
                <w:color w:val="auto"/>
              </w:rPr>
            </w:pPr>
            <w:r>
              <w:rPr>
                <w:rFonts w:ascii="Arial" w:cs="Arial" w:eastAsia="Arial" w:hAnsi="Arial"/>
                <w:sz w:val="11"/>
                <w:szCs w:val="11"/>
                <w:color w:val="auto"/>
              </w:rPr>
              <w:t>(Dollars in Thousands)</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4"/>
          </w:tcPr>
          <w:p>
            <w:pPr>
              <w:jc w:val="right"/>
              <w:ind w:right="566"/>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September 30, 2026</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September 30, 2025</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280"/>
              <w:spacing w:after="0" w:line="109" w:lineRule="exact"/>
              <w:rPr>
                <w:sz w:val="20"/>
                <w:szCs w:val="20"/>
                <w:color w:val="auto"/>
              </w:rPr>
            </w:pPr>
            <w:r>
              <w:rPr>
                <w:rFonts w:ascii="Arial" w:cs="Arial" w:eastAsia="Arial" w:hAnsi="Arial"/>
                <w:sz w:val="11"/>
                <w:szCs w:val="11"/>
                <w:b w:val="1"/>
                <w:bCs w:val="1"/>
                <w:color w:val="auto"/>
                <w:w w:val="95"/>
              </w:rPr>
              <w:t>Interest</w:t>
            </w:r>
          </w:p>
        </w:tc>
        <w:tc>
          <w:tcPr>
            <w:tcW w:w="9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80"/>
              <w:spacing w:after="0" w:line="109" w:lineRule="exact"/>
              <w:rPr>
                <w:sz w:val="20"/>
                <w:szCs w:val="20"/>
                <w:color w:val="auto"/>
              </w:rPr>
            </w:pPr>
            <w:r>
              <w:rPr>
                <w:rFonts w:ascii="Arial" w:cs="Arial" w:eastAsia="Arial" w:hAnsi="Arial"/>
                <w:sz w:val="11"/>
                <w:szCs w:val="11"/>
                <w:b w:val="1"/>
                <w:bCs w:val="1"/>
                <w:color w:val="auto"/>
                <w:w w:val="95"/>
              </w:rPr>
              <w:t>Interest</w:t>
            </w:r>
          </w:p>
        </w:tc>
        <w:tc>
          <w:tcPr>
            <w:tcW w:w="9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9"/>
              </w:rPr>
              <w:t>Average Balance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Income /</w:t>
            </w: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9"/>
              </w:rPr>
              <w:t>Average Balance</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4"/>
              </w:rPr>
              <w:t>Income /</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Expense</w:t>
            </w:r>
          </w:p>
        </w:tc>
        <w:tc>
          <w:tcPr>
            <w:tcW w:w="920" w:type="dxa"/>
            <w:vAlign w:val="bottom"/>
          </w:tcPr>
          <w:p>
            <w:pPr>
              <w:ind w:left="340"/>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Expense</w:t>
            </w:r>
          </w:p>
        </w:tc>
        <w:tc>
          <w:tcPr>
            <w:tcW w:w="920" w:type="dxa"/>
            <w:vAlign w:val="bottom"/>
          </w:tcPr>
          <w:p>
            <w:pPr>
              <w:jc w:val="right"/>
              <w:ind w:right="286"/>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48"/>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20"/>
              <w:spacing w:after="0"/>
              <w:rPr>
                <w:sz w:val="20"/>
                <w:szCs w:val="20"/>
                <w:color w:val="auto"/>
              </w:rPr>
            </w:pPr>
            <w:r>
              <w:rPr>
                <w:rFonts w:ascii="Arial" w:cs="Arial" w:eastAsia="Arial" w:hAnsi="Arial"/>
                <w:sz w:val="11"/>
                <w:szCs w:val="11"/>
                <w:color w:val="auto"/>
              </w:rPr>
              <w:t>Interest-bearing deposits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234,715</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1,308</w:t>
            </w:r>
          </w:p>
        </w:tc>
        <w:tc>
          <w:tcPr>
            <w:tcW w:w="12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w w:val="99"/>
              </w:rPr>
              <w:t>2.23 %</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229,271</w:t>
            </w:r>
          </w:p>
        </w:tc>
        <w:tc>
          <w:tcPr>
            <w:tcW w:w="3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1,676</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2.92 %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Federal Home Loan Bank stock</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70,805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1,578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ind w:left="560"/>
              <w:spacing w:after="0"/>
              <w:rPr>
                <w:sz w:val="20"/>
                <w:szCs w:val="20"/>
                <w:color w:val="auto"/>
              </w:rPr>
            </w:pPr>
            <w:r>
              <w:rPr>
                <w:rFonts w:ascii="Arial" w:cs="Arial" w:eastAsia="Arial" w:hAnsi="Arial"/>
                <w:sz w:val="11"/>
                <w:szCs w:val="11"/>
                <w:color w:val="auto"/>
              </w:rPr>
              <w:t>8.91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47,278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1,092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9.24</w:t>
            </w: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Taxable</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1,434,474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7,331</w:t>
            </w: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2.04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1,567,594</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8,288</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2.11</w:t>
            </w:r>
          </w:p>
        </w:tc>
        <w:tc>
          <w:tcPr>
            <w:tcW w:w="0" w:type="dxa"/>
            <w:vAlign w:val="bottom"/>
          </w:tcPr>
          <w:p>
            <w:pPr>
              <w:spacing w:after="0"/>
              <w:rPr>
                <w:sz w:val="1"/>
                <w:szCs w:val="1"/>
                <w:color w:val="auto"/>
              </w:rPr>
            </w:pPr>
          </w:p>
        </w:tc>
      </w:tr>
      <w:tr>
        <w:trPr>
          <w:trHeight w:val="162"/>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 xml:space="preserve">Tax-Exempt </w:t>
            </w:r>
            <w:r>
              <w:rPr>
                <w:rFonts w:ascii="Arial" w:cs="Arial" w:eastAsia="Arial" w:hAnsi="Arial"/>
                <w:sz w:val="14"/>
                <w:szCs w:val="14"/>
                <w:color w:val="auto"/>
                <w:vertAlign w:val="superscript"/>
              </w:rPr>
              <w:t>(2)</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2,005,985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15,543</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ind w:left="560"/>
              <w:spacing w:after="0"/>
              <w:rPr>
                <w:sz w:val="20"/>
                <w:szCs w:val="20"/>
                <w:color w:val="auto"/>
              </w:rPr>
            </w:pPr>
            <w:r>
              <w:rPr>
                <w:rFonts w:ascii="Arial" w:cs="Arial" w:eastAsia="Arial" w:hAnsi="Arial"/>
                <w:sz w:val="11"/>
                <w:szCs w:val="11"/>
                <w:color w:val="auto"/>
              </w:rPr>
              <w:t>3.10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2,036,379</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15,772</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ind w:right="106"/>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35"/>
        </w:trPr>
        <w:tc>
          <w:tcPr>
            <w:tcW w:w="4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 Investment Securities</w:t>
            </w: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3,440,459</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22,874</w:t>
            </w:r>
          </w:p>
        </w:tc>
        <w:tc>
          <w:tcPr>
            <w:tcW w:w="1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2.66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3,603,973</w:t>
            </w: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24,060</w:t>
            </w: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42"/>
        </w:trPr>
        <w:tc>
          <w:tcPr>
            <w:tcW w:w="4660" w:type="dxa"/>
            <w:vAlign w:val="bottom"/>
          </w:tcPr>
          <w:p>
            <w:pPr>
              <w:ind w:left="20"/>
              <w:spacing w:after="0"/>
              <w:rPr>
                <w:sz w:val="20"/>
                <w:szCs w:val="20"/>
                <w:color w:val="auto"/>
              </w:rPr>
            </w:pPr>
            <w:r>
              <w:rPr>
                <w:rFonts w:ascii="Arial" w:cs="Arial" w:eastAsia="Arial" w:hAnsi="Arial"/>
                <w:sz w:val="11"/>
                <w:szCs w:val="11"/>
                <w:color w:val="auto"/>
              </w:rPr>
              <w:t>Loans held for sale</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78,320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1,600</w:t>
            </w:r>
          </w:p>
        </w:tc>
        <w:tc>
          <w:tcPr>
            <w:tcW w:w="12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8.17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26,165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401</w:t>
            </w:r>
          </w:p>
        </w:tc>
        <w:tc>
          <w:tcPr>
            <w:tcW w:w="100" w:type="dxa"/>
            <w:vAlign w:val="bottom"/>
          </w:tcPr>
          <w:p>
            <w:pPr>
              <w:spacing w:after="0"/>
              <w:rPr>
                <w:sz w:val="12"/>
                <w:szCs w:val="12"/>
                <w:color w:val="auto"/>
              </w:rPr>
            </w:pP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6.13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60" w:type="dxa"/>
            <w:vAlign w:val="bottom"/>
          </w:tcPr>
          <w:p>
            <w:pPr>
              <w:ind w:left="360"/>
              <w:spacing w:after="0"/>
              <w:rPr>
                <w:sz w:val="20"/>
                <w:szCs w:val="20"/>
                <w:color w:val="auto"/>
              </w:rPr>
            </w:pPr>
            <w:r>
              <w:rPr>
                <w:rFonts w:ascii="Arial" w:cs="Arial" w:eastAsia="Arial" w:hAnsi="Arial"/>
                <w:sz w:val="11"/>
                <w:szCs w:val="11"/>
                <w:color w:val="auto"/>
              </w:rPr>
              <w:t>Commercial</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10,915,052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177,309</w:t>
            </w:r>
          </w:p>
        </w:tc>
        <w:tc>
          <w:tcPr>
            <w:tcW w:w="120" w:type="dxa"/>
            <w:vAlign w:val="bottom"/>
          </w:tcPr>
          <w:p>
            <w:pPr>
              <w:spacing w:after="0"/>
              <w:rPr>
                <w:sz w:val="13"/>
                <w:szCs w:val="13"/>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6.50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9,165,241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158,469</w:t>
            </w:r>
          </w:p>
        </w:tc>
        <w:tc>
          <w:tcPr>
            <w:tcW w:w="100" w:type="dxa"/>
            <w:vAlign w:val="bottom"/>
          </w:tcPr>
          <w:p>
            <w:pPr>
              <w:spacing w:after="0"/>
              <w:rPr>
                <w:sz w:val="13"/>
                <w:szCs w:val="13"/>
                <w:color w:val="auto"/>
              </w:rPr>
            </w:pP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6.92</w:t>
            </w:r>
          </w:p>
        </w:tc>
        <w:tc>
          <w:tcPr>
            <w:tcW w:w="0" w:type="dxa"/>
            <w:vAlign w:val="bottom"/>
          </w:tcPr>
          <w:p>
            <w:pPr>
              <w:spacing w:after="0"/>
              <w:rPr>
                <w:sz w:val="1"/>
                <w:szCs w:val="1"/>
                <w:color w:val="auto"/>
              </w:rPr>
            </w:pPr>
          </w:p>
        </w:tc>
      </w:tr>
      <w:tr>
        <w:trPr>
          <w:trHeight w:val="152"/>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Real estate mortgage</w:t>
            </w: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2,215,960</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27,989</w:t>
            </w: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5.05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2,217,524</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25,676</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4.63</w:t>
            </w:r>
          </w:p>
        </w:tc>
        <w:tc>
          <w:tcPr>
            <w:tcW w:w="0" w:type="dxa"/>
            <w:vAlign w:val="bottom"/>
          </w:tcPr>
          <w:p>
            <w:pPr>
              <w:spacing w:after="0"/>
              <w:rPr>
                <w:sz w:val="1"/>
                <w:szCs w:val="1"/>
                <w:color w:val="auto"/>
              </w:rPr>
            </w:pPr>
          </w:p>
        </w:tc>
      </w:tr>
      <w:tr>
        <w:trPr>
          <w:trHeight w:val="142"/>
        </w:trPr>
        <w:tc>
          <w:tcPr>
            <w:tcW w:w="4660" w:type="dxa"/>
            <w:vAlign w:val="bottom"/>
          </w:tcPr>
          <w:p>
            <w:pPr>
              <w:ind w:left="360"/>
              <w:spacing w:after="0"/>
              <w:rPr>
                <w:sz w:val="20"/>
                <w:szCs w:val="20"/>
                <w:color w:val="auto"/>
              </w:rPr>
            </w:pPr>
            <w:r>
              <w:rPr>
                <w:rFonts w:ascii="Arial" w:cs="Arial" w:eastAsia="Arial" w:hAnsi="Arial"/>
                <w:sz w:val="11"/>
                <w:szCs w:val="11"/>
                <w:color w:val="auto"/>
              </w:rPr>
              <w:t>HELOC and installment</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1,317,354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23,174</w:t>
            </w:r>
          </w:p>
        </w:tc>
        <w:tc>
          <w:tcPr>
            <w:tcW w:w="12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7.04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851,239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15,860</w:t>
            </w:r>
          </w:p>
        </w:tc>
        <w:tc>
          <w:tcPr>
            <w:tcW w:w="100" w:type="dxa"/>
            <w:vAlign w:val="bottom"/>
          </w:tcPr>
          <w:p>
            <w:pPr>
              <w:spacing w:after="0"/>
              <w:rPr>
                <w:sz w:val="12"/>
                <w:szCs w:val="12"/>
                <w:color w:val="auto"/>
              </w:rPr>
            </w:pP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7.45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 xml:space="preserve">Tax-Exempt </w:t>
            </w:r>
            <w:r>
              <w:rPr>
                <w:rFonts w:ascii="Arial" w:cs="Arial" w:eastAsia="Arial" w:hAnsi="Arial"/>
                <w:sz w:val="14"/>
                <w:szCs w:val="14"/>
                <w:color w:val="auto"/>
                <w:vertAlign w:val="superscript"/>
              </w:rPr>
              <w:t>(2)</w:t>
            </w: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1,159,703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14,375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ind w:left="560"/>
              <w:spacing w:after="0"/>
              <w:rPr>
                <w:sz w:val="20"/>
                <w:szCs w:val="20"/>
                <w:color w:val="auto"/>
              </w:rPr>
            </w:pPr>
            <w:r>
              <w:rPr>
                <w:rFonts w:ascii="Arial" w:cs="Arial" w:eastAsia="Arial" w:hAnsi="Arial"/>
                <w:sz w:val="11"/>
                <w:szCs w:val="11"/>
                <w:color w:val="auto"/>
              </w:rPr>
              <w:t>4.96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1,142,210</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14,070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4.93</w:t>
            </w:r>
          </w:p>
        </w:tc>
        <w:tc>
          <w:tcPr>
            <w:tcW w:w="0" w:type="dxa"/>
            <w:vAlign w:val="bottom"/>
          </w:tcPr>
          <w:p>
            <w:pPr>
              <w:spacing w:after="0"/>
              <w:rPr>
                <w:sz w:val="1"/>
                <w:szCs w:val="1"/>
                <w:color w:val="auto"/>
              </w:rPr>
            </w:pPr>
          </w:p>
        </w:tc>
      </w:tr>
      <w:tr>
        <w:trPr>
          <w:trHeight w:val="149"/>
        </w:trPr>
        <w:tc>
          <w:tcPr>
            <w:tcW w:w="4660" w:type="dxa"/>
            <w:vAlign w:val="bottom"/>
            <w:tcBorders>
              <w:bottom w:val="single" w:sz="8" w:color="CCEEFF"/>
            </w:tcBorders>
          </w:tcPr>
          <w:p>
            <w:pPr>
              <w:ind w:left="680"/>
              <w:spacing w:after="0"/>
              <w:rPr>
                <w:sz w:val="20"/>
                <w:szCs w:val="20"/>
                <w:color w:val="auto"/>
              </w:rPr>
            </w:pPr>
            <w:r>
              <w:rPr>
                <w:rFonts w:ascii="Arial" w:cs="Arial" w:eastAsia="Arial" w:hAnsi="Arial"/>
                <w:sz w:val="11"/>
                <w:szCs w:val="11"/>
                <w:color w:val="auto"/>
              </w:rPr>
              <w:t>Total Loans, including loans held for sale</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15,686,389</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244,447</w:t>
            </w: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ind w:left="560"/>
              <w:spacing w:after="0"/>
              <w:rPr>
                <w:sz w:val="20"/>
                <w:szCs w:val="20"/>
                <w:color w:val="auto"/>
              </w:rPr>
            </w:pPr>
            <w:r>
              <w:rPr>
                <w:rFonts w:ascii="Arial" w:cs="Arial" w:eastAsia="Arial" w:hAnsi="Arial"/>
                <w:sz w:val="11"/>
                <w:szCs w:val="11"/>
                <w:color w:val="auto"/>
              </w:rPr>
              <w:t>6.23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13,402,379</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214,476</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ind w:right="106"/>
              <w:spacing w:after="0"/>
              <w:rPr>
                <w:sz w:val="20"/>
                <w:szCs w:val="20"/>
                <w:color w:val="auto"/>
              </w:rPr>
            </w:pPr>
            <w:r>
              <w:rPr>
                <w:rFonts w:ascii="Arial" w:cs="Arial" w:eastAsia="Arial" w:hAnsi="Arial"/>
                <w:sz w:val="11"/>
                <w:szCs w:val="11"/>
                <w:color w:val="auto"/>
              </w:rPr>
              <w:t>6.40</w:t>
            </w:r>
          </w:p>
        </w:tc>
        <w:tc>
          <w:tcPr>
            <w:tcW w:w="0" w:type="dxa"/>
            <w:vAlign w:val="bottom"/>
          </w:tcPr>
          <w:p>
            <w:pPr>
              <w:spacing w:after="0"/>
              <w:rPr>
                <w:sz w:val="1"/>
                <w:szCs w:val="1"/>
                <w:color w:val="auto"/>
              </w:rPr>
            </w:pPr>
          </w:p>
        </w:tc>
      </w:tr>
      <w:tr>
        <w:trPr>
          <w:trHeight w:val="162"/>
        </w:trPr>
        <w:tc>
          <w:tcPr>
            <w:tcW w:w="4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 Earning Assets</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19,432,368</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270,207</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w w:val="99"/>
              </w:rPr>
              <w:t>5.56 %</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17,282,901</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241,304</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5.58 %</w:t>
            </w:r>
          </w:p>
        </w:tc>
        <w:tc>
          <w:tcPr>
            <w:tcW w:w="0" w:type="dxa"/>
            <w:vAlign w:val="bottom"/>
          </w:tcPr>
          <w:p>
            <w:pPr>
              <w:spacing w:after="0"/>
              <w:rPr>
                <w:sz w:val="1"/>
                <w:szCs w:val="1"/>
                <w:color w:val="auto"/>
              </w:rPr>
            </w:pPr>
          </w:p>
        </w:tc>
      </w:tr>
      <w:tr>
        <w:trPr>
          <w:trHeight w:val="135"/>
        </w:trPr>
        <w:tc>
          <w:tcPr>
            <w:tcW w:w="4660" w:type="dxa"/>
            <w:vAlign w:val="bottom"/>
            <w:tcBorders>
              <w:bottom w:val="single" w:sz="8" w:color="CCEEFF"/>
            </w:tcBorders>
          </w:tcPr>
          <w:p>
            <w:pPr>
              <w:ind w:left="680"/>
              <w:spacing w:after="0" w:line="122" w:lineRule="exact"/>
              <w:rPr>
                <w:sz w:val="20"/>
                <w:szCs w:val="20"/>
                <w:color w:val="auto"/>
              </w:rPr>
            </w:pPr>
            <w:r>
              <w:rPr>
                <w:rFonts w:ascii="Arial" w:cs="Arial" w:eastAsia="Arial" w:hAnsi="Arial"/>
                <w:sz w:val="11"/>
                <w:szCs w:val="11"/>
                <w:color w:val="auto"/>
              </w:rPr>
              <w:t>Total Non-Earning Assets</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1,633,392</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780" w:type="dxa"/>
            <w:vAlign w:val="bottom"/>
            <w:tcBorders>
              <w:top w:val="single" w:sz="8" w:color="auto"/>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1,354,680</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680"/>
              <w:spacing w:after="0"/>
              <w:rPr>
                <w:sz w:val="20"/>
                <w:szCs w:val="20"/>
                <w:color w:val="auto"/>
              </w:rPr>
            </w:pPr>
            <w:r>
              <w:rPr>
                <w:rFonts w:ascii="Arial" w:cs="Arial" w:eastAsia="Arial" w:hAnsi="Arial"/>
                <w:sz w:val="11"/>
                <w:szCs w:val="11"/>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21,065,760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18,637,581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Interest-Bearing Deposits:</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ind w:left="360"/>
              <w:spacing w:after="0"/>
              <w:rPr>
                <w:sz w:val="20"/>
                <w:szCs w:val="20"/>
                <w:color w:val="auto"/>
              </w:rPr>
            </w:pPr>
            <w:r>
              <w:rPr>
                <w:rFonts w:ascii="Arial" w:cs="Arial" w:eastAsia="Arial" w:hAnsi="Arial"/>
                <w:sz w:val="11"/>
                <w:szCs w:val="11"/>
                <w:color w:val="auto"/>
              </w:rPr>
              <w:t>Checking deposits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4,774,656</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35,524</w:t>
            </w:r>
          </w:p>
        </w:tc>
        <w:tc>
          <w:tcPr>
            <w:tcW w:w="12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w w:val="99"/>
              </w:rPr>
              <w:t>2.98 %</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5,600,373</w:t>
            </w:r>
          </w:p>
        </w:tc>
        <w:tc>
          <w:tcPr>
            <w:tcW w:w="3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37,463</w:t>
            </w: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2.68 %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Money market deposits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4,702,730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33,686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ind w:left="560"/>
              <w:spacing w:after="0"/>
              <w:rPr>
                <w:sz w:val="20"/>
                <w:szCs w:val="20"/>
                <w:color w:val="auto"/>
              </w:rPr>
            </w:pPr>
            <w:r>
              <w:rPr>
                <w:rFonts w:ascii="Arial" w:cs="Arial" w:eastAsia="Arial" w:hAnsi="Arial"/>
                <w:sz w:val="11"/>
                <w:szCs w:val="11"/>
                <w:color w:val="auto"/>
              </w:rPr>
              <w:t>2.87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3,843,537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31,709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42"/>
        </w:trPr>
        <w:tc>
          <w:tcPr>
            <w:tcW w:w="4660" w:type="dxa"/>
            <w:vAlign w:val="bottom"/>
          </w:tcPr>
          <w:p>
            <w:pPr>
              <w:ind w:left="360"/>
              <w:spacing w:after="0"/>
              <w:rPr>
                <w:sz w:val="20"/>
                <w:szCs w:val="20"/>
                <w:color w:val="auto"/>
              </w:rPr>
            </w:pPr>
            <w:r>
              <w:rPr>
                <w:rFonts w:ascii="Arial" w:cs="Arial" w:eastAsia="Arial" w:hAnsi="Arial"/>
                <w:sz w:val="11"/>
                <w:szCs w:val="11"/>
                <w:color w:val="auto"/>
              </w:rPr>
              <w:t>Savings deposits</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1,396,706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2,311</w:t>
            </w:r>
          </w:p>
        </w:tc>
        <w:tc>
          <w:tcPr>
            <w:tcW w:w="12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0.66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1,269,539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2,605</w:t>
            </w:r>
          </w:p>
        </w:tc>
        <w:tc>
          <w:tcPr>
            <w:tcW w:w="100" w:type="dxa"/>
            <w:vAlign w:val="bottom"/>
          </w:tcPr>
          <w:p>
            <w:pPr>
              <w:spacing w:after="0"/>
              <w:rPr>
                <w:sz w:val="12"/>
                <w:szCs w:val="12"/>
                <w:color w:val="auto"/>
              </w:rPr>
            </w:pP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0.82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Certificates and other time deposits</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2,249,894</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19,792</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3.52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2,036,704</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19,044</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3.74</w:t>
            </w:r>
          </w:p>
        </w:tc>
        <w:tc>
          <w:tcPr>
            <w:tcW w:w="0" w:type="dxa"/>
            <w:vAlign w:val="bottom"/>
          </w:tcPr>
          <w:p>
            <w:pPr>
              <w:spacing w:after="0"/>
              <w:rPr>
                <w:sz w:val="1"/>
                <w:szCs w:val="1"/>
                <w:color w:val="auto"/>
              </w:rPr>
            </w:pPr>
          </w:p>
        </w:tc>
      </w:tr>
      <w:tr>
        <w:trPr>
          <w:trHeight w:val="135"/>
        </w:trPr>
        <w:tc>
          <w:tcPr>
            <w:tcW w:w="4660" w:type="dxa"/>
            <w:vAlign w:val="bottom"/>
          </w:tcPr>
          <w:p>
            <w:pPr>
              <w:ind w:left="680"/>
              <w:spacing w:after="0"/>
              <w:rPr>
                <w:sz w:val="20"/>
                <w:szCs w:val="20"/>
                <w:color w:val="auto"/>
              </w:rPr>
            </w:pPr>
            <w:r>
              <w:rPr>
                <w:rFonts w:ascii="Arial" w:cs="Arial" w:eastAsia="Arial" w:hAnsi="Arial"/>
                <w:sz w:val="11"/>
                <w:szCs w:val="11"/>
                <w:color w:val="auto"/>
              </w:rPr>
              <w:t>Total Interest-Bearing Deposits</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13,123,986</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91,313</w:t>
            </w:r>
          </w:p>
        </w:tc>
        <w:tc>
          <w:tcPr>
            <w:tcW w:w="120" w:type="dxa"/>
            <w:vAlign w:val="bottom"/>
          </w:tcPr>
          <w:p>
            <w:pPr>
              <w:spacing w:after="0"/>
              <w:rPr>
                <w:sz w:val="11"/>
                <w:szCs w:val="11"/>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2.78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12,750,153</w:t>
            </w: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90,821</w:t>
            </w:r>
          </w:p>
        </w:tc>
        <w:tc>
          <w:tcPr>
            <w:tcW w:w="100" w:type="dxa"/>
            <w:vAlign w:val="bottom"/>
          </w:tcPr>
          <w:p>
            <w:pPr>
              <w:spacing w:after="0"/>
              <w:rPr>
                <w:sz w:val="11"/>
                <w:szCs w:val="11"/>
                <w:color w:val="auto"/>
              </w:rPr>
            </w:pP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Borrowings</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1,191,522</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11,566</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3.88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1,072,145</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10,609</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3.96</w:t>
            </w:r>
          </w:p>
        </w:tc>
        <w:tc>
          <w:tcPr>
            <w:tcW w:w="0" w:type="dxa"/>
            <w:vAlign w:val="bottom"/>
          </w:tcPr>
          <w:p>
            <w:pPr>
              <w:spacing w:after="0"/>
              <w:rPr>
                <w:sz w:val="1"/>
                <w:szCs w:val="1"/>
                <w:color w:val="auto"/>
              </w:rPr>
            </w:pPr>
          </w:p>
        </w:tc>
      </w:tr>
      <w:tr>
        <w:trPr>
          <w:trHeight w:val="135"/>
        </w:trPr>
        <w:tc>
          <w:tcPr>
            <w:tcW w:w="4660" w:type="dxa"/>
            <w:vAlign w:val="bottom"/>
          </w:tcPr>
          <w:p>
            <w:pPr>
              <w:ind w:left="680"/>
              <w:spacing w:after="0"/>
              <w:rPr>
                <w:sz w:val="20"/>
                <w:szCs w:val="20"/>
                <w:color w:val="auto"/>
              </w:rPr>
            </w:pPr>
            <w:r>
              <w:rPr>
                <w:rFonts w:ascii="Arial" w:cs="Arial" w:eastAsia="Arial" w:hAnsi="Arial"/>
                <w:sz w:val="11"/>
                <w:szCs w:val="11"/>
                <w:color w:val="auto"/>
              </w:rPr>
              <w:t>Total Interest-Bearing Liabilities</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14,315,508</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102,879</w:t>
            </w:r>
          </w:p>
        </w:tc>
        <w:tc>
          <w:tcPr>
            <w:tcW w:w="120" w:type="dxa"/>
            <w:vAlign w:val="bottom"/>
          </w:tcPr>
          <w:p>
            <w:pPr>
              <w:spacing w:after="0"/>
              <w:rPr>
                <w:sz w:val="11"/>
                <w:szCs w:val="11"/>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2.87</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13,822,298</w:t>
            </w: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101,430</w:t>
            </w:r>
          </w:p>
        </w:tc>
        <w:tc>
          <w:tcPr>
            <w:tcW w:w="100" w:type="dxa"/>
            <w:vAlign w:val="bottom"/>
          </w:tcPr>
          <w:p>
            <w:pPr>
              <w:spacing w:after="0"/>
              <w:rPr>
                <w:sz w:val="11"/>
                <w:szCs w:val="11"/>
                <w:color w:val="auto"/>
              </w:rPr>
            </w:pPr>
          </w:p>
        </w:tc>
        <w:tc>
          <w:tcPr>
            <w:tcW w:w="920" w:type="dxa"/>
            <w:vAlign w:val="bottom"/>
          </w:tcPr>
          <w:p>
            <w:pPr>
              <w:jc w:val="right"/>
              <w:ind w:right="106"/>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Noninterest-bearing deposits</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3,761,379</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2,157,708</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292,930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289,604</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 Liabilities</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18,369,817</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16,269,610</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Stockholders' Equity</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2,695,943</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2,367,971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21,065,760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18,637,581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660" w:type="dxa"/>
            <w:vAlign w:val="bottom"/>
          </w:tcPr>
          <w:p>
            <w:pPr>
              <w:ind w:left="1120"/>
              <w:spacing w:after="0" w:line="123" w:lineRule="exact"/>
              <w:rPr>
                <w:sz w:val="20"/>
                <w:szCs w:val="20"/>
                <w:color w:val="auto"/>
              </w:rPr>
            </w:pPr>
            <w:r>
              <w:rPr>
                <w:rFonts w:ascii="Arial" w:cs="Arial" w:eastAsia="Arial" w:hAnsi="Arial"/>
                <w:sz w:val="11"/>
                <w:szCs w:val="11"/>
                <w:b w:val="1"/>
                <w:bCs w:val="1"/>
                <w:color w:val="auto"/>
              </w:rPr>
              <w:t>Net Interest Income (FTE)</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167,328</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139,874</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shd w:val="clear" w:color="auto" w:fill="CCEEFF"/>
          </w:tcPr>
          <w:p>
            <w:pPr>
              <w:ind w:left="1120"/>
              <w:spacing w:after="0" w:line="129" w:lineRule="exact"/>
              <w:rPr>
                <w:sz w:val="20"/>
                <w:szCs w:val="20"/>
                <w:color w:val="auto"/>
              </w:rPr>
            </w:pPr>
            <w:r>
              <w:rPr>
                <w:rFonts w:ascii="Arial" w:cs="Arial" w:eastAsia="Arial" w:hAnsi="Arial"/>
                <w:sz w:val="11"/>
                <w:szCs w:val="11"/>
                <w:b w:val="1"/>
                <w:bCs w:val="1"/>
                <w:color w:val="auto"/>
              </w:rPr>
              <w:t xml:space="preserve">Net Interest Spread (FTE) </w:t>
            </w:r>
            <w:r>
              <w:rPr>
                <w:rFonts w:ascii="Arial" w:cs="Arial" w:eastAsia="Arial" w:hAnsi="Arial"/>
                <w:sz w:val="14"/>
                <w:szCs w:val="14"/>
                <w:b w:val="1"/>
                <w:bCs w:val="1"/>
                <w:color w:val="auto"/>
                <w:vertAlign w:val="superscript"/>
              </w:rPr>
              <w:t>(4)</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ind w:left="560"/>
              <w:spacing w:after="0" w:line="122" w:lineRule="exact"/>
              <w:rPr>
                <w:sz w:val="20"/>
                <w:szCs w:val="20"/>
                <w:color w:val="auto"/>
              </w:rPr>
            </w:pPr>
            <w:r>
              <w:rPr>
                <w:rFonts w:ascii="Arial" w:cs="Arial" w:eastAsia="Arial" w:hAnsi="Arial"/>
                <w:sz w:val="11"/>
                <w:szCs w:val="11"/>
                <w:color w:val="auto"/>
                <w:w w:val="99"/>
              </w:rPr>
              <w:t>2.69 %</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2.64 %</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680"/>
              <w:spacing w:after="0"/>
              <w:rPr>
                <w:sz w:val="20"/>
                <w:szCs w:val="20"/>
                <w:color w:val="auto"/>
              </w:rPr>
            </w:pPr>
            <w:r>
              <w:rPr>
                <w:rFonts w:ascii="Arial" w:cs="Arial" w:eastAsia="Arial" w:hAnsi="Arial"/>
                <w:sz w:val="11"/>
                <w:szCs w:val="11"/>
                <w:b w:val="1"/>
                <w:bCs w:val="1"/>
                <w:color w:val="auto"/>
              </w:rPr>
              <w:t>Net Interest Margin (FTE):</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60" w:type="dxa"/>
            <w:vAlign w:val="bottom"/>
          </w:tcPr>
          <w:p>
            <w:pPr>
              <w:ind w:left="680"/>
              <w:spacing w:after="0"/>
              <w:rPr>
                <w:sz w:val="20"/>
                <w:szCs w:val="20"/>
                <w:color w:val="auto"/>
              </w:rPr>
            </w:pPr>
            <w:r>
              <w:rPr>
                <w:rFonts w:ascii="Arial" w:cs="Arial" w:eastAsia="Arial" w:hAnsi="Arial"/>
                <w:sz w:val="11"/>
                <w:szCs w:val="11"/>
                <w:color w:val="auto"/>
              </w:rPr>
              <w:t>Interest Income (FTE) / Average Earning Assets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w w:val="99"/>
              </w:rPr>
              <w:t>5.56 %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5.58 %</w:t>
            </w:r>
          </w:p>
        </w:tc>
        <w:tc>
          <w:tcPr>
            <w:tcW w:w="0" w:type="dxa"/>
            <w:vAlign w:val="bottom"/>
          </w:tcPr>
          <w:p>
            <w:pPr>
              <w:spacing w:after="0"/>
              <w:rPr>
                <w:sz w:val="1"/>
                <w:szCs w:val="1"/>
                <w:color w:val="auto"/>
              </w:rPr>
            </w:pPr>
          </w:p>
        </w:tc>
      </w:tr>
      <w:tr>
        <w:trPr>
          <w:trHeight w:val="165"/>
        </w:trPr>
        <w:tc>
          <w:tcPr>
            <w:tcW w:w="4660" w:type="dxa"/>
            <w:vAlign w:val="bottom"/>
            <w:shd w:val="clear" w:color="auto" w:fill="CCEEFF"/>
          </w:tcPr>
          <w:p>
            <w:pPr>
              <w:ind w:left="680"/>
              <w:spacing w:after="0"/>
              <w:rPr>
                <w:sz w:val="20"/>
                <w:szCs w:val="20"/>
                <w:color w:val="auto"/>
              </w:rPr>
            </w:pPr>
            <w:r>
              <w:rPr>
                <w:rFonts w:ascii="Arial" w:cs="Arial" w:eastAsia="Arial" w:hAnsi="Arial"/>
                <w:sz w:val="11"/>
                <w:szCs w:val="11"/>
                <w:color w:val="auto"/>
              </w:rPr>
              <w:t>Interest Expense / Average Earning Assets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1"/>
                <w:szCs w:val="11"/>
                <w:color w:val="auto"/>
                <w:w w:val="99"/>
              </w:rPr>
              <w:t>2.12 %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2.34 %</w:t>
            </w:r>
          </w:p>
        </w:tc>
        <w:tc>
          <w:tcPr>
            <w:tcW w:w="0" w:type="dxa"/>
            <w:vAlign w:val="bottom"/>
          </w:tcPr>
          <w:p>
            <w:pPr>
              <w:spacing w:after="0"/>
              <w:rPr>
                <w:sz w:val="1"/>
                <w:szCs w:val="1"/>
                <w:color w:val="auto"/>
              </w:rPr>
            </w:pPr>
          </w:p>
        </w:tc>
      </w:tr>
      <w:tr>
        <w:trPr>
          <w:trHeight w:val="162"/>
        </w:trPr>
        <w:tc>
          <w:tcPr>
            <w:tcW w:w="4660" w:type="dxa"/>
            <w:vAlign w:val="bottom"/>
          </w:tcPr>
          <w:p>
            <w:pPr>
              <w:ind w:left="1120"/>
              <w:spacing w:after="0"/>
              <w:rPr>
                <w:sz w:val="20"/>
                <w:szCs w:val="20"/>
                <w:color w:val="auto"/>
              </w:rPr>
            </w:pPr>
            <w:r>
              <w:rPr>
                <w:rFonts w:ascii="Arial" w:cs="Arial" w:eastAsia="Arial" w:hAnsi="Arial"/>
                <w:sz w:val="11"/>
                <w:szCs w:val="11"/>
                <w:b w:val="1"/>
                <w:bCs w:val="1"/>
                <w:color w:val="auto"/>
              </w:rPr>
              <w:t xml:space="preserve">Net Interest Margin (FTE) </w:t>
            </w:r>
            <w:r>
              <w:rPr>
                <w:rFonts w:ascii="Arial" w:cs="Arial" w:eastAsia="Arial" w:hAnsi="Arial"/>
                <w:sz w:val="14"/>
                <w:szCs w:val="14"/>
                <w:b w:val="1"/>
                <w:bCs w:val="1"/>
                <w:color w:val="auto"/>
                <w:vertAlign w:val="superscript"/>
              </w:rPr>
              <w:t>(5)</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w w:val="99"/>
              </w:rPr>
              <w:t>3.44 %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3.24 %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140" w:hanging="114"/>
        <w:spacing w:after="0"/>
        <w:tabs>
          <w:tab w:leader="none" w:pos="14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Average balance of securities is computed based on the average of the historical amortized cost balances without the effects of the fair value adjustments. Annualized amounts are computed utilizing a 30/360 day basis.</w:t>
      </w:r>
    </w:p>
    <w:p>
      <w:pPr>
        <w:spacing w:after="0" w:line="60" w:lineRule="exact"/>
        <w:rPr>
          <w:rFonts w:ascii="Arial" w:cs="Arial" w:eastAsia="Arial" w:hAnsi="Arial"/>
          <w:sz w:val="13"/>
          <w:szCs w:val="13"/>
          <w:color w:val="auto"/>
          <w:vertAlign w:val="superscript"/>
        </w:rPr>
      </w:pPr>
    </w:p>
    <w:p>
      <w:pPr>
        <w:ind w:left="20" w:right="40" w:firstLine="6"/>
        <w:spacing w:after="0" w:line="413" w:lineRule="auto"/>
        <w:tabs>
          <w:tab w:leader="none" w:pos="125" w:val="left"/>
        </w:tabs>
        <w:numPr>
          <w:ilvl w:val="0"/>
          <w:numId w:val="13"/>
        </w:numPr>
        <w:rPr>
          <w:rFonts w:ascii="Arial" w:cs="Arial" w:eastAsia="Arial" w:hAnsi="Arial"/>
          <w:sz w:val="12"/>
          <w:szCs w:val="12"/>
          <w:color w:val="auto"/>
          <w:vertAlign w:val="superscript"/>
        </w:rPr>
      </w:pPr>
      <w:r>
        <w:rPr>
          <w:rFonts w:ascii="Arial" w:cs="Arial" w:eastAsia="Arial" w:hAnsi="Arial"/>
          <w:sz w:val="9"/>
          <w:szCs w:val="9"/>
          <w:color w:val="auto"/>
        </w:rPr>
        <w:t>Tax-exempt securities and loans are presented on an FTE basis, using a marginal tax rate of 21 percent for 2026 and 2025. These totals equal $6.3 million and $6.2 million for the three months ended September 30, 2026 and 2025, respectively. For reconciliations of GAAP to the corresponding non-GAAP measures provided above, refer to the "NON-GAAP FINANCIAL MEASURES" section of this Management's Discussion and Analysis of Financial Condition and Results of Operations.</w:t>
      </w:r>
    </w:p>
    <w:p>
      <w:pPr>
        <w:ind w:left="140" w:hanging="114"/>
        <w:spacing w:after="0"/>
        <w:tabs>
          <w:tab w:leader="none" w:pos="14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Nonaccrual loans have been included in the average balances.</w:t>
      </w:r>
    </w:p>
    <w:p>
      <w:pPr>
        <w:spacing w:after="0" w:line="60" w:lineRule="exact"/>
        <w:rPr>
          <w:rFonts w:ascii="Arial" w:cs="Arial" w:eastAsia="Arial" w:hAnsi="Arial"/>
          <w:sz w:val="13"/>
          <w:szCs w:val="13"/>
          <w:color w:val="auto"/>
          <w:vertAlign w:val="superscript"/>
        </w:rPr>
      </w:pPr>
    </w:p>
    <w:p>
      <w:pPr>
        <w:ind w:left="20" w:right="280" w:firstLine="6"/>
        <w:spacing w:after="0" w:line="413" w:lineRule="auto"/>
        <w:tabs>
          <w:tab w:leader="none" w:pos="125" w:val="left"/>
        </w:tabs>
        <w:numPr>
          <w:ilvl w:val="0"/>
          <w:numId w:val="13"/>
        </w:numPr>
        <w:rPr>
          <w:rFonts w:ascii="Arial" w:cs="Arial" w:eastAsia="Arial" w:hAnsi="Arial"/>
          <w:sz w:val="12"/>
          <w:szCs w:val="12"/>
          <w:color w:val="auto"/>
          <w:vertAlign w:val="superscript"/>
        </w:rPr>
      </w:pPr>
      <w:r>
        <w:rPr>
          <w:rFonts w:ascii="Arial" w:cs="Arial" w:eastAsia="Arial" w:hAnsi="Arial"/>
          <w:sz w:val="9"/>
          <w:szCs w:val="9"/>
          <w:color w:val="auto"/>
        </w:rPr>
        <w:t>Net Interest Spread (FTE) is interest income on a fully taxable-equivalent basis expressed as a percentage of average earning assets minus interest expense expressed as a percentage of average interest-bearing liabilities. For reconciliations of GAAP to the corresponding non-GAAP measures provided above, refer to the "NON-GAAP FINANCIAL MEASURES" section of this Management's Discussion and Analysis of Financial Condition and Results of Operations.</w:t>
      </w:r>
    </w:p>
    <w:p>
      <w:pPr>
        <w:spacing w:after="0" w:line="2" w:lineRule="exact"/>
        <w:rPr>
          <w:rFonts w:ascii="Arial" w:cs="Arial" w:eastAsia="Arial" w:hAnsi="Arial"/>
          <w:sz w:val="12"/>
          <w:szCs w:val="12"/>
          <w:color w:val="auto"/>
          <w:vertAlign w:val="superscript"/>
        </w:rPr>
      </w:pPr>
    </w:p>
    <w:p>
      <w:pPr>
        <w:ind w:left="20" w:right="60" w:firstLine="6"/>
        <w:spacing w:after="0" w:line="226" w:lineRule="auto"/>
        <w:tabs>
          <w:tab w:leader="none" w:pos="135"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Net Interest Margin (FTE) is interest income on a fully taxable-equivalent basis expressed as a percentage of average earning assets minus interest expense expressed as a percentage of average earning assets. For reconciliations of GAAP to the corresponding non-GAAP measures provided above, refer to the “NON-GAAP FINANCIAL MEASURES” section of this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62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tcPr>
          <w:p>
            <w:pPr>
              <w:jc w:val="right"/>
              <w:ind w:right="586"/>
              <w:spacing w:after="0"/>
              <w:rPr>
                <w:sz w:val="20"/>
                <w:szCs w:val="20"/>
                <w:color w:val="auto"/>
              </w:rPr>
            </w:pPr>
            <w:r>
              <w:rPr>
                <w:rFonts w:ascii="Arial" w:cs="Arial" w:eastAsia="Arial" w:hAnsi="Arial"/>
                <w:sz w:val="11"/>
                <w:szCs w:val="11"/>
                <w:b w:val="1"/>
                <w:bCs w:val="1"/>
                <w:color w:val="auto"/>
              </w:rPr>
              <w:t>Nine Months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September 30, 2026</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September 30, 2025</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rPr>
              <w:t>Interest</w:t>
            </w:r>
          </w:p>
        </w:tc>
        <w:tc>
          <w:tcPr>
            <w:tcW w:w="92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Average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280"/>
              <w:spacing w:after="0" w:line="109" w:lineRule="exact"/>
              <w:rPr>
                <w:sz w:val="20"/>
                <w:szCs w:val="20"/>
                <w:color w:val="auto"/>
              </w:rPr>
            </w:pPr>
            <w:r>
              <w:rPr>
                <w:rFonts w:ascii="Arial" w:cs="Arial" w:eastAsia="Arial" w:hAnsi="Arial"/>
                <w:sz w:val="11"/>
                <w:szCs w:val="11"/>
                <w:b w:val="1"/>
                <w:bCs w:val="1"/>
                <w:color w:val="auto"/>
                <w:w w:val="95"/>
              </w:rPr>
              <w:t>Interest</w:t>
            </w:r>
          </w:p>
        </w:tc>
        <w:tc>
          <w:tcPr>
            <w:tcW w:w="9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w w:val="99"/>
              </w:rPr>
              <w:t>Average Balance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8"/>
              </w:rPr>
              <w:t>Income /</w:t>
            </w: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9"/>
              </w:rPr>
              <w:t>Average Balance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8"/>
              </w:rPr>
              <w:t>Income /</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Expense</w:t>
            </w:r>
          </w:p>
        </w:tc>
        <w:tc>
          <w:tcPr>
            <w:tcW w:w="920" w:type="dxa"/>
            <w:vAlign w:val="bottom"/>
          </w:tcPr>
          <w:p>
            <w:pPr>
              <w:ind w:left="340"/>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Expense</w:t>
            </w:r>
          </w:p>
        </w:tc>
        <w:tc>
          <w:tcPr>
            <w:tcW w:w="940" w:type="dxa"/>
            <w:vAlign w:val="bottom"/>
          </w:tcPr>
          <w:p>
            <w:pPr>
              <w:ind w:left="360"/>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48"/>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20" w:type="dxa"/>
            <w:vAlign w:val="bottom"/>
          </w:tcPr>
          <w:p>
            <w:pPr>
              <w:ind w:left="20"/>
              <w:spacing w:after="0"/>
              <w:rPr>
                <w:sz w:val="20"/>
                <w:szCs w:val="20"/>
                <w:color w:val="auto"/>
              </w:rPr>
            </w:pPr>
            <w:r>
              <w:rPr>
                <w:rFonts w:ascii="Arial" w:cs="Arial" w:eastAsia="Arial" w:hAnsi="Arial"/>
                <w:sz w:val="11"/>
                <w:szCs w:val="11"/>
                <w:color w:val="auto"/>
              </w:rPr>
              <w:t>Interest-bearing deposits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225,198</w:t>
            </w:r>
          </w:p>
        </w:tc>
        <w:tc>
          <w:tcPr>
            <w:tcW w:w="3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3,699</w:t>
            </w:r>
          </w:p>
        </w:tc>
        <w:tc>
          <w:tcPr>
            <w:tcW w:w="10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w w:val="99"/>
              </w:rPr>
              <w:t>2.19 %</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258,396</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5,940</w:t>
            </w:r>
          </w:p>
        </w:tc>
        <w:tc>
          <w:tcPr>
            <w:tcW w:w="12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w w:val="99"/>
              </w:rPr>
              <w:t>3.07 %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Federal Home Loan Bank stock</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68,147</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5,068</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9.92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45,964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3,172</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rPr>
              <w:t>9.20</w:t>
            </w: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(1)</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Taxable</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1,467,054</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22,233</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2.02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1,602,343</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24,926</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62"/>
        </w:trPr>
        <w:tc>
          <w:tcPr>
            <w:tcW w:w="462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 xml:space="preserve">Tax-Exempt </w:t>
            </w:r>
            <w:r>
              <w:rPr>
                <w:rFonts w:ascii="Arial" w:cs="Arial" w:eastAsia="Arial" w:hAnsi="Arial"/>
                <w:sz w:val="14"/>
                <w:szCs w:val="14"/>
                <w:color w:val="auto"/>
                <w:vertAlign w:val="superscript"/>
              </w:rPr>
              <w:t>(2)</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2,030,587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47,258</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ind w:left="560"/>
              <w:spacing w:after="0"/>
              <w:rPr>
                <w:sz w:val="20"/>
                <w:szCs w:val="20"/>
                <w:color w:val="auto"/>
              </w:rPr>
            </w:pPr>
            <w:r>
              <w:rPr>
                <w:rFonts w:ascii="Arial" w:cs="Arial" w:eastAsia="Arial" w:hAnsi="Arial"/>
                <w:sz w:val="11"/>
                <w:szCs w:val="11"/>
                <w:color w:val="auto"/>
              </w:rPr>
              <w:t>3.10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2,041,755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47,459</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ind w:left="580"/>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36"/>
        </w:trPr>
        <w:tc>
          <w:tcPr>
            <w:tcW w:w="4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 Investment Securities</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3,497,641</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69,491</w:t>
            </w: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3,644,098</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72,385</w:t>
            </w:r>
          </w:p>
        </w:tc>
        <w:tc>
          <w:tcPr>
            <w:tcW w:w="1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142"/>
        </w:trPr>
        <w:tc>
          <w:tcPr>
            <w:tcW w:w="4620" w:type="dxa"/>
            <w:vAlign w:val="bottom"/>
          </w:tcPr>
          <w:p>
            <w:pPr>
              <w:ind w:left="20"/>
              <w:spacing w:after="0"/>
              <w:rPr>
                <w:sz w:val="20"/>
                <w:szCs w:val="20"/>
                <w:color w:val="auto"/>
              </w:rPr>
            </w:pPr>
            <w:r>
              <w:rPr>
                <w:rFonts w:ascii="Arial" w:cs="Arial" w:eastAsia="Arial" w:hAnsi="Arial"/>
                <w:sz w:val="11"/>
                <w:szCs w:val="11"/>
                <w:color w:val="auto"/>
              </w:rPr>
              <w:t>Loans held for sale</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176,072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7,568</w:t>
            </w:r>
          </w:p>
        </w:tc>
        <w:tc>
          <w:tcPr>
            <w:tcW w:w="10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5.73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24,175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1,109</w:t>
            </w:r>
          </w:p>
        </w:tc>
        <w:tc>
          <w:tcPr>
            <w:tcW w:w="12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rPr>
              <w:t>6.12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ind w:left="360"/>
              <w:spacing w:after="0"/>
              <w:rPr>
                <w:sz w:val="20"/>
                <w:szCs w:val="20"/>
                <w:color w:val="auto"/>
              </w:rPr>
            </w:pPr>
            <w:r>
              <w:rPr>
                <w:rFonts w:ascii="Arial" w:cs="Arial" w:eastAsia="Arial" w:hAnsi="Arial"/>
                <w:sz w:val="11"/>
                <w:szCs w:val="11"/>
                <w:color w:val="auto"/>
              </w:rPr>
              <w:t>Commercial</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10,655,628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514,636</w:t>
            </w:r>
          </w:p>
        </w:tc>
        <w:tc>
          <w:tcPr>
            <w:tcW w:w="10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6.44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8,982,171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460,349</w:t>
            </w:r>
          </w:p>
        </w:tc>
        <w:tc>
          <w:tcPr>
            <w:tcW w:w="12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rPr>
              <w:t>6.83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Real estate mortgage</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2,239,083</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82,763</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4.93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2,203,263</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75,184</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rPr>
              <w:t>4.55</w:t>
            </w:r>
          </w:p>
        </w:tc>
        <w:tc>
          <w:tcPr>
            <w:tcW w:w="0" w:type="dxa"/>
            <w:vAlign w:val="bottom"/>
          </w:tcPr>
          <w:p>
            <w:pPr>
              <w:spacing w:after="0"/>
              <w:rPr>
                <w:sz w:val="1"/>
                <w:szCs w:val="1"/>
                <w:color w:val="auto"/>
              </w:rPr>
            </w:pPr>
          </w:p>
        </w:tc>
      </w:tr>
      <w:tr>
        <w:trPr>
          <w:trHeight w:val="142"/>
        </w:trPr>
        <w:tc>
          <w:tcPr>
            <w:tcW w:w="4620" w:type="dxa"/>
            <w:vAlign w:val="bottom"/>
          </w:tcPr>
          <w:p>
            <w:pPr>
              <w:ind w:left="360"/>
              <w:spacing w:after="0"/>
              <w:rPr>
                <w:sz w:val="20"/>
                <w:szCs w:val="20"/>
                <w:color w:val="auto"/>
              </w:rPr>
            </w:pPr>
            <w:r>
              <w:rPr>
                <w:rFonts w:ascii="Arial" w:cs="Arial" w:eastAsia="Arial" w:hAnsi="Arial"/>
                <w:sz w:val="11"/>
                <w:szCs w:val="11"/>
                <w:color w:val="auto"/>
              </w:rPr>
              <w:t>HELOC and installment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1,241,618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65,263</w:t>
            </w:r>
          </w:p>
        </w:tc>
        <w:tc>
          <w:tcPr>
            <w:tcW w:w="10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7.01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838,420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46,665</w:t>
            </w:r>
          </w:p>
        </w:tc>
        <w:tc>
          <w:tcPr>
            <w:tcW w:w="12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rPr>
              <w:t>7.42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 xml:space="preserve">Tax-Exempt </w:t>
            </w:r>
            <w:r>
              <w:rPr>
                <w:rFonts w:ascii="Arial" w:cs="Arial" w:eastAsia="Arial" w:hAnsi="Arial"/>
                <w:sz w:val="14"/>
                <w:szCs w:val="14"/>
                <w:color w:val="auto"/>
                <w:vertAlign w:val="superscript"/>
              </w:rPr>
              <w:t>(2)</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1,184,957</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43,912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ind w:left="560"/>
              <w:spacing w:after="0"/>
              <w:rPr>
                <w:sz w:val="20"/>
                <w:szCs w:val="20"/>
                <w:color w:val="auto"/>
              </w:rPr>
            </w:pPr>
            <w:r>
              <w:rPr>
                <w:rFonts w:ascii="Arial" w:cs="Arial" w:eastAsia="Arial" w:hAnsi="Arial"/>
                <w:sz w:val="11"/>
                <w:szCs w:val="11"/>
                <w:color w:val="auto"/>
              </w:rPr>
              <w:t>4.94</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1,138,814</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41,079</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ind w:left="580"/>
              <w:spacing w:after="0"/>
              <w:rPr>
                <w:sz w:val="20"/>
                <w:szCs w:val="20"/>
                <w:color w:val="auto"/>
              </w:rPr>
            </w:pPr>
            <w:r>
              <w:rPr>
                <w:rFonts w:ascii="Arial" w:cs="Arial" w:eastAsia="Arial" w:hAnsi="Arial"/>
                <w:sz w:val="11"/>
                <w:szCs w:val="11"/>
                <w:color w:val="auto"/>
              </w:rPr>
              <w:t>4.81</w:t>
            </w:r>
          </w:p>
        </w:tc>
        <w:tc>
          <w:tcPr>
            <w:tcW w:w="0" w:type="dxa"/>
            <w:vAlign w:val="bottom"/>
          </w:tcPr>
          <w:p>
            <w:pPr>
              <w:spacing w:after="0"/>
              <w:rPr>
                <w:sz w:val="1"/>
                <w:szCs w:val="1"/>
                <w:color w:val="auto"/>
              </w:rPr>
            </w:pPr>
          </w:p>
        </w:tc>
      </w:tr>
      <w:tr>
        <w:trPr>
          <w:trHeight w:val="149"/>
        </w:trPr>
        <w:tc>
          <w:tcPr>
            <w:tcW w:w="4620" w:type="dxa"/>
            <w:vAlign w:val="bottom"/>
            <w:tcBorders>
              <w:bottom w:val="single" w:sz="8" w:color="CCEEFF"/>
            </w:tcBorders>
          </w:tcPr>
          <w:p>
            <w:pPr>
              <w:ind w:left="680"/>
              <w:spacing w:after="0"/>
              <w:rPr>
                <w:sz w:val="20"/>
                <w:szCs w:val="20"/>
                <w:color w:val="auto"/>
              </w:rPr>
            </w:pPr>
            <w:r>
              <w:rPr>
                <w:rFonts w:ascii="Arial" w:cs="Arial" w:eastAsia="Arial" w:hAnsi="Arial"/>
                <w:sz w:val="11"/>
                <w:szCs w:val="11"/>
                <w:color w:val="auto"/>
              </w:rPr>
              <w:t>Total Loans, including loans held for sale</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15,497,358</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714,142</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ind w:left="560"/>
              <w:spacing w:after="0"/>
              <w:rPr>
                <w:sz w:val="20"/>
                <w:szCs w:val="20"/>
                <w:color w:val="auto"/>
              </w:rPr>
            </w:pPr>
            <w:r>
              <w:rPr>
                <w:rFonts w:ascii="Arial" w:cs="Arial" w:eastAsia="Arial" w:hAnsi="Arial"/>
                <w:sz w:val="11"/>
                <w:szCs w:val="11"/>
                <w:color w:val="auto"/>
              </w:rPr>
              <w:t>6.14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13,186,843</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624,386</w:t>
            </w:r>
          </w:p>
        </w:tc>
        <w:tc>
          <w:tcPr>
            <w:tcW w:w="1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ind w:left="580"/>
              <w:spacing w:after="0"/>
              <w:rPr>
                <w:sz w:val="20"/>
                <w:szCs w:val="20"/>
                <w:color w:val="auto"/>
              </w:rPr>
            </w:pPr>
            <w:r>
              <w:rPr>
                <w:rFonts w:ascii="Arial" w:cs="Arial" w:eastAsia="Arial" w:hAnsi="Arial"/>
                <w:sz w:val="11"/>
                <w:szCs w:val="11"/>
                <w:color w:val="auto"/>
              </w:rPr>
              <w:t>6.31</w:t>
            </w:r>
          </w:p>
        </w:tc>
        <w:tc>
          <w:tcPr>
            <w:tcW w:w="0" w:type="dxa"/>
            <w:vAlign w:val="bottom"/>
          </w:tcPr>
          <w:p>
            <w:pPr>
              <w:spacing w:after="0"/>
              <w:rPr>
                <w:sz w:val="1"/>
                <w:szCs w:val="1"/>
                <w:color w:val="auto"/>
              </w:rPr>
            </w:pPr>
          </w:p>
        </w:tc>
      </w:tr>
      <w:tr>
        <w:trPr>
          <w:trHeight w:val="162"/>
        </w:trPr>
        <w:tc>
          <w:tcPr>
            <w:tcW w:w="4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 Earning Assets</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19,288,344</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792,400</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w w:val="99"/>
              </w:rPr>
              <w:t>5.48 %</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17,135,301</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705,883</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w w:val="99"/>
              </w:rPr>
              <w:t>5.49 %</w:t>
            </w:r>
          </w:p>
        </w:tc>
        <w:tc>
          <w:tcPr>
            <w:tcW w:w="0" w:type="dxa"/>
            <w:vAlign w:val="bottom"/>
          </w:tcPr>
          <w:p>
            <w:pPr>
              <w:spacing w:after="0"/>
              <w:rPr>
                <w:sz w:val="1"/>
                <w:szCs w:val="1"/>
                <w:color w:val="auto"/>
              </w:rPr>
            </w:pPr>
          </w:p>
        </w:tc>
      </w:tr>
      <w:tr>
        <w:trPr>
          <w:trHeight w:val="136"/>
        </w:trPr>
        <w:tc>
          <w:tcPr>
            <w:tcW w:w="4620" w:type="dxa"/>
            <w:vAlign w:val="bottom"/>
            <w:tcBorders>
              <w:bottom w:val="single" w:sz="8" w:color="CCEEFF"/>
            </w:tcBorders>
          </w:tcPr>
          <w:p>
            <w:pPr>
              <w:ind w:left="680"/>
              <w:spacing w:after="0" w:line="122" w:lineRule="exact"/>
              <w:rPr>
                <w:sz w:val="20"/>
                <w:szCs w:val="20"/>
                <w:color w:val="auto"/>
              </w:rPr>
            </w:pPr>
            <w:r>
              <w:rPr>
                <w:rFonts w:ascii="Arial" w:cs="Arial" w:eastAsia="Arial" w:hAnsi="Arial"/>
                <w:sz w:val="11"/>
                <w:szCs w:val="11"/>
                <w:color w:val="auto"/>
              </w:rPr>
              <w:t>Total Non-Earning Assets</w:t>
            </w: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1,622,885</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1,361,817</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780" w:type="dxa"/>
            <w:vAlign w:val="bottom"/>
            <w:tcBorders>
              <w:top w:val="single" w:sz="8" w:color="auto"/>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ind w:left="680"/>
              <w:spacing w:after="0"/>
              <w:rPr>
                <w:sz w:val="20"/>
                <w:szCs w:val="20"/>
                <w:color w:val="auto"/>
              </w:rPr>
            </w:pPr>
            <w:r>
              <w:rPr>
                <w:rFonts w:ascii="Arial" w:cs="Arial" w:eastAsia="Arial" w:hAnsi="Arial"/>
                <w:sz w:val="11"/>
                <w:szCs w:val="11"/>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20,911,229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18,497,118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Interest-Bearing Deposits: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ind w:left="360"/>
              <w:spacing w:after="0"/>
              <w:rPr>
                <w:sz w:val="20"/>
                <w:szCs w:val="20"/>
                <w:color w:val="auto"/>
              </w:rPr>
            </w:pPr>
            <w:r>
              <w:rPr>
                <w:rFonts w:ascii="Arial" w:cs="Arial" w:eastAsia="Arial" w:hAnsi="Arial"/>
                <w:sz w:val="11"/>
                <w:szCs w:val="11"/>
                <w:color w:val="auto"/>
              </w:rPr>
              <w:t>Checking deposits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4,904,249</w:t>
            </w:r>
          </w:p>
        </w:tc>
        <w:tc>
          <w:tcPr>
            <w:tcW w:w="3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96,544</w:t>
            </w:r>
          </w:p>
        </w:tc>
        <w:tc>
          <w:tcPr>
            <w:tcW w:w="10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w w:val="99"/>
              </w:rPr>
              <w:t>2.62 %</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5,556,274</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107,372</w:t>
            </w:r>
          </w:p>
        </w:tc>
        <w:tc>
          <w:tcPr>
            <w:tcW w:w="12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w w:val="99"/>
              </w:rPr>
              <w:t>2.58 %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Money market deposits</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4,667,252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99,003</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2.83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3,633,314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86,375</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52"/>
        </w:trPr>
        <w:tc>
          <w:tcPr>
            <w:tcW w:w="4620" w:type="dxa"/>
            <w:vAlign w:val="bottom"/>
          </w:tcPr>
          <w:p>
            <w:pPr>
              <w:ind w:left="360"/>
              <w:spacing w:after="0"/>
              <w:rPr>
                <w:sz w:val="20"/>
                <w:szCs w:val="20"/>
                <w:color w:val="auto"/>
              </w:rPr>
            </w:pPr>
            <w:r>
              <w:rPr>
                <w:rFonts w:ascii="Arial" w:cs="Arial" w:eastAsia="Arial" w:hAnsi="Arial"/>
                <w:sz w:val="11"/>
                <w:szCs w:val="11"/>
                <w:color w:val="auto"/>
              </w:rPr>
              <w:t>Savings deposits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1,397,781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6,823</w:t>
            </w:r>
          </w:p>
        </w:tc>
        <w:tc>
          <w:tcPr>
            <w:tcW w:w="100" w:type="dxa"/>
            <w:vAlign w:val="bottom"/>
          </w:tcPr>
          <w:p>
            <w:pPr>
              <w:spacing w:after="0"/>
              <w:rPr>
                <w:sz w:val="13"/>
                <w:szCs w:val="13"/>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0.65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1,283,856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7,563</w:t>
            </w:r>
          </w:p>
        </w:tc>
        <w:tc>
          <w:tcPr>
            <w:tcW w:w="120" w:type="dxa"/>
            <w:vAlign w:val="bottom"/>
          </w:tcPr>
          <w:p>
            <w:pPr>
              <w:spacing w:after="0"/>
              <w:rPr>
                <w:sz w:val="13"/>
                <w:szCs w:val="13"/>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rPr>
              <w:t>0.79</w:t>
            </w:r>
          </w:p>
        </w:tc>
        <w:tc>
          <w:tcPr>
            <w:tcW w:w="0" w:type="dxa"/>
            <w:vAlign w:val="bottom"/>
          </w:tcPr>
          <w:p>
            <w:pPr>
              <w:spacing w:after="0"/>
              <w:rPr>
                <w:sz w:val="1"/>
                <w:szCs w:val="1"/>
                <w:color w:val="auto"/>
              </w:rPr>
            </w:pPr>
          </w:p>
        </w:tc>
      </w:tr>
      <w:tr>
        <w:trPr>
          <w:trHeight w:val="172"/>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Certificates and other time deposits</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2,245,010</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59,290</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3.52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1,996,406</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54,299</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rPr>
              <w:t>3.63</w:t>
            </w:r>
          </w:p>
        </w:tc>
        <w:tc>
          <w:tcPr>
            <w:tcW w:w="0" w:type="dxa"/>
            <w:vAlign w:val="bottom"/>
          </w:tcPr>
          <w:p>
            <w:pPr>
              <w:spacing w:after="0"/>
              <w:rPr>
                <w:sz w:val="1"/>
                <w:szCs w:val="1"/>
                <w:color w:val="auto"/>
              </w:rPr>
            </w:pPr>
          </w:p>
        </w:tc>
      </w:tr>
      <w:tr>
        <w:trPr>
          <w:trHeight w:val="145"/>
        </w:trPr>
        <w:tc>
          <w:tcPr>
            <w:tcW w:w="4620" w:type="dxa"/>
            <w:vAlign w:val="bottom"/>
          </w:tcPr>
          <w:p>
            <w:pPr>
              <w:ind w:left="680"/>
              <w:spacing w:after="0"/>
              <w:rPr>
                <w:sz w:val="20"/>
                <w:szCs w:val="20"/>
                <w:color w:val="auto"/>
              </w:rPr>
            </w:pPr>
            <w:r>
              <w:rPr>
                <w:rFonts w:ascii="Arial" w:cs="Arial" w:eastAsia="Arial" w:hAnsi="Arial"/>
                <w:sz w:val="11"/>
                <w:szCs w:val="11"/>
                <w:color w:val="auto"/>
              </w:rPr>
              <w:t>Total Interest-Bearing Deposits</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13,214,292</w:t>
            </w: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261,660</w:t>
            </w:r>
          </w:p>
        </w:tc>
        <w:tc>
          <w:tcPr>
            <w:tcW w:w="100" w:type="dxa"/>
            <w:vAlign w:val="bottom"/>
          </w:tcPr>
          <w:p>
            <w:pPr>
              <w:spacing w:after="0"/>
              <w:rPr>
                <w:sz w:val="12"/>
                <w:szCs w:val="12"/>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2.64</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12,469,850</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255,609</w:t>
            </w:r>
          </w:p>
        </w:tc>
        <w:tc>
          <w:tcPr>
            <w:tcW w:w="120" w:type="dxa"/>
            <w:vAlign w:val="bottom"/>
          </w:tcPr>
          <w:p>
            <w:pPr>
              <w:spacing w:after="0"/>
              <w:rPr>
                <w:sz w:val="12"/>
                <w:szCs w:val="12"/>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rPr>
              <w:t>2.73</w:t>
            </w:r>
          </w:p>
        </w:tc>
        <w:tc>
          <w:tcPr>
            <w:tcW w:w="0" w:type="dxa"/>
            <w:vAlign w:val="bottom"/>
          </w:tcPr>
          <w:p>
            <w:pPr>
              <w:spacing w:after="0"/>
              <w:rPr>
                <w:sz w:val="1"/>
                <w:szCs w:val="1"/>
                <w:color w:val="auto"/>
              </w:rPr>
            </w:pPr>
          </w:p>
        </w:tc>
      </w:tr>
      <w:tr>
        <w:trPr>
          <w:trHeight w:val="17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Borrowings</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1,412,602</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40,383</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3.81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1,194,498</w:t>
            </w: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34,790</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rPr>
              <w:t>3.88</w:t>
            </w:r>
          </w:p>
        </w:tc>
        <w:tc>
          <w:tcPr>
            <w:tcW w:w="0" w:type="dxa"/>
            <w:vAlign w:val="bottom"/>
          </w:tcPr>
          <w:p>
            <w:pPr>
              <w:spacing w:after="0"/>
              <w:rPr>
                <w:sz w:val="1"/>
                <w:szCs w:val="1"/>
                <w:color w:val="auto"/>
              </w:rPr>
            </w:pPr>
          </w:p>
        </w:tc>
      </w:tr>
      <w:tr>
        <w:trPr>
          <w:trHeight w:val="135"/>
        </w:trPr>
        <w:tc>
          <w:tcPr>
            <w:tcW w:w="4620" w:type="dxa"/>
            <w:vAlign w:val="bottom"/>
          </w:tcPr>
          <w:p>
            <w:pPr>
              <w:ind w:left="680"/>
              <w:spacing w:after="0"/>
              <w:rPr>
                <w:sz w:val="20"/>
                <w:szCs w:val="20"/>
                <w:color w:val="auto"/>
              </w:rPr>
            </w:pPr>
            <w:r>
              <w:rPr>
                <w:rFonts w:ascii="Arial" w:cs="Arial" w:eastAsia="Arial" w:hAnsi="Arial"/>
                <w:sz w:val="11"/>
                <w:szCs w:val="11"/>
                <w:color w:val="auto"/>
              </w:rPr>
              <w:t>Total Interest-Bearing Liabilities</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14,626,894</w:t>
            </w: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302,043</w:t>
            </w:r>
          </w:p>
        </w:tc>
        <w:tc>
          <w:tcPr>
            <w:tcW w:w="100" w:type="dxa"/>
            <w:vAlign w:val="bottom"/>
          </w:tcPr>
          <w:p>
            <w:pPr>
              <w:spacing w:after="0"/>
              <w:rPr>
                <w:sz w:val="11"/>
                <w:szCs w:val="11"/>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rPr>
              <w:t>2.76</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13,664,348</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290,399</w:t>
            </w:r>
          </w:p>
        </w:tc>
        <w:tc>
          <w:tcPr>
            <w:tcW w:w="120" w:type="dxa"/>
            <w:vAlign w:val="bottom"/>
          </w:tcPr>
          <w:p>
            <w:pPr>
              <w:spacing w:after="0"/>
              <w:rPr>
                <w:sz w:val="11"/>
                <w:szCs w:val="11"/>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Noninterest-bearing deposits</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3,323,359</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2,185,044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276,180</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298,008</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 Liabilities</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18,226,433</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16,147,400</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Stockholders' Equity</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2,684,796</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2,349,718</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20,911,229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18,497,118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620" w:type="dxa"/>
            <w:vAlign w:val="bottom"/>
          </w:tcPr>
          <w:p>
            <w:pPr>
              <w:ind w:left="1120"/>
              <w:spacing w:after="0" w:line="123" w:lineRule="exact"/>
              <w:rPr>
                <w:sz w:val="20"/>
                <w:szCs w:val="20"/>
                <w:color w:val="auto"/>
              </w:rPr>
            </w:pPr>
            <w:r>
              <w:rPr>
                <w:rFonts w:ascii="Arial" w:cs="Arial" w:eastAsia="Arial" w:hAnsi="Arial"/>
                <w:sz w:val="11"/>
                <w:szCs w:val="11"/>
                <w:b w:val="1"/>
                <w:bCs w:val="1"/>
                <w:color w:val="auto"/>
              </w:rPr>
              <w:t>Net Interest Income (FTE)</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6"/>
              <w:spacing w:after="0" w:line="122" w:lineRule="exact"/>
              <w:rPr>
                <w:sz w:val="20"/>
                <w:szCs w:val="20"/>
                <w:color w:val="auto"/>
              </w:rPr>
            </w:pPr>
            <w:r>
              <w:rPr>
                <w:rFonts w:ascii="Arial" w:cs="Arial" w:eastAsia="Arial" w:hAnsi="Arial"/>
                <w:sz w:val="11"/>
                <w:szCs w:val="11"/>
                <w:color w:val="auto"/>
              </w:rPr>
              <w:t>490,357</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415,484</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shd w:val="clear" w:color="auto" w:fill="CCEEFF"/>
          </w:tcPr>
          <w:p>
            <w:pPr>
              <w:ind w:left="1120"/>
              <w:spacing w:after="0" w:line="129" w:lineRule="exact"/>
              <w:rPr>
                <w:sz w:val="20"/>
                <w:szCs w:val="20"/>
                <w:color w:val="auto"/>
              </w:rPr>
            </w:pPr>
            <w:r>
              <w:rPr>
                <w:rFonts w:ascii="Arial" w:cs="Arial" w:eastAsia="Arial" w:hAnsi="Arial"/>
                <w:sz w:val="11"/>
                <w:szCs w:val="11"/>
                <w:b w:val="1"/>
                <w:bCs w:val="1"/>
                <w:color w:val="auto"/>
              </w:rPr>
              <w:t xml:space="preserve">Net Interest Spread (FTE) </w:t>
            </w:r>
            <w:r>
              <w:rPr>
                <w:rFonts w:ascii="Arial" w:cs="Arial" w:eastAsia="Arial" w:hAnsi="Arial"/>
                <w:sz w:val="14"/>
                <w:szCs w:val="14"/>
                <w:b w:val="1"/>
                <w:bCs w:val="1"/>
                <w:color w:val="auto"/>
                <w:vertAlign w:val="superscript"/>
              </w:rPr>
              <w:t>(4)</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ind w:left="560"/>
              <w:spacing w:after="0" w:line="122" w:lineRule="exact"/>
              <w:rPr>
                <w:sz w:val="20"/>
                <w:szCs w:val="20"/>
                <w:color w:val="auto"/>
              </w:rPr>
            </w:pPr>
            <w:r>
              <w:rPr>
                <w:rFonts w:ascii="Arial" w:cs="Arial" w:eastAsia="Arial" w:hAnsi="Arial"/>
                <w:sz w:val="11"/>
                <w:szCs w:val="11"/>
                <w:color w:val="auto"/>
                <w:w w:val="99"/>
              </w:rPr>
              <w:t>2.72 %</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ind w:left="580"/>
              <w:spacing w:after="0" w:line="122" w:lineRule="exact"/>
              <w:rPr>
                <w:sz w:val="20"/>
                <w:szCs w:val="20"/>
                <w:color w:val="auto"/>
              </w:rPr>
            </w:pPr>
            <w:r>
              <w:rPr>
                <w:rFonts w:ascii="Arial" w:cs="Arial" w:eastAsia="Arial" w:hAnsi="Arial"/>
                <w:sz w:val="11"/>
                <w:szCs w:val="11"/>
                <w:color w:val="auto"/>
                <w:w w:val="99"/>
              </w:rPr>
              <w:t>2.66 %</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ind w:left="680"/>
              <w:spacing w:after="0"/>
              <w:rPr>
                <w:sz w:val="20"/>
                <w:szCs w:val="20"/>
                <w:color w:val="auto"/>
              </w:rPr>
            </w:pPr>
            <w:r>
              <w:rPr>
                <w:rFonts w:ascii="Arial" w:cs="Arial" w:eastAsia="Arial" w:hAnsi="Arial"/>
                <w:sz w:val="11"/>
                <w:szCs w:val="11"/>
                <w:b w:val="1"/>
                <w:bCs w:val="1"/>
                <w:color w:val="auto"/>
              </w:rPr>
              <w:t>Net Interest Margin (FTE):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20" w:type="dxa"/>
            <w:vAlign w:val="bottom"/>
          </w:tcPr>
          <w:p>
            <w:pPr>
              <w:ind w:left="680"/>
              <w:spacing w:after="0"/>
              <w:rPr>
                <w:sz w:val="20"/>
                <w:szCs w:val="20"/>
                <w:color w:val="auto"/>
              </w:rPr>
            </w:pPr>
            <w:r>
              <w:rPr>
                <w:rFonts w:ascii="Arial" w:cs="Arial" w:eastAsia="Arial" w:hAnsi="Arial"/>
                <w:sz w:val="11"/>
                <w:szCs w:val="11"/>
                <w:color w:val="auto"/>
              </w:rPr>
              <w:t>Interest Income (FTE) / Average Earning Assets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560"/>
              <w:spacing w:after="0"/>
              <w:rPr>
                <w:sz w:val="20"/>
                <w:szCs w:val="20"/>
                <w:color w:val="auto"/>
              </w:rPr>
            </w:pPr>
            <w:r>
              <w:rPr>
                <w:rFonts w:ascii="Arial" w:cs="Arial" w:eastAsia="Arial" w:hAnsi="Arial"/>
                <w:sz w:val="11"/>
                <w:szCs w:val="11"/>
                <w:color w:val="auto"/>
                <w:w w:val="99"/>
              </w:rPr>
              <w:t>5.48 %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ind w:left="580"/>
              <w:spacing w:after="0"/>
              <w:rPr>
                <w:sz w:val="20"/>
                <w:szCs w:val="20"/>
                <w:color w:val="auto"/>
              </w:rPr>
            </w:pPr>
            <w:r>
              <w:rPr>
                <w:rFonts w:ascii="Arial" w:cs="Arial" w:eastAsia="Arial" w:hAnsi="Arial"/>
                <w:sz w:val="11"/>
                <w:szCs w:val="11"/>
                <w:color w:val="auto"/>
                <w:w w:val="99"/>
              </w:rPr>
              <w:t>5.49 %</w:t>
            </w: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680"/>
              <w:spacing w:after="0"/>
              <w:rPr>
                <w:sz w:val="20"/>
                <w:szCs w:val="20"/>
                <w:color w:val="auto"/>
              </w:rPr>
            </w:pPr>
            <w:r>
              <w:rPr>
                <w:rFonts w:ascii="Arial" w:cs="Arial" w:eastAsia="Arial" w:hAnsi="Arial"/>
                <w:sz w:val="11"/>
                <w:szCs w:val="11"/>
                <w:color w:val="auto"/>
              </w:rPr>
              <w:t>Interest Expense / Average Earning Assets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1"/>
                <w:szCs w:val="11"/>
                <w:color w:val="auto"/>
                <w:w w:val="99"/>
              </w:rPr>
              <w:t>2.09 %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1"/>
                <w:szCs w:val="11"/>
                <w:color w:val="auto"/>
                <w:w w:val="99"/>
              </w:rPr>
              <w:t>2.26 %</w:t>
            </w:r>
          </w:p>
        </w:tc>
        <w:tc>
          <w:tcPr>
            <w:tcW w:w="0" w:type="dxa"/>
            <w:vAlign w:val="bottom"/>
          </w:tcPr>
          <w:p>
            <w:pPr>
              <w:spacing w:after="0"/>
              <w:rPr>
                <w:sz w:val="1"/>
                <w:szCs w:val="1"/>
                <w:color w:val="auto"/>
              </w:rPr>
            </w:pPr>
          </w:p>
        </w:tc>
      </w:tr>
      <w:tr>
        <w:trPr>
          <w:trHeight w:val="162"/>
        </w:trPr>
        <w:tc>
          <w:tcPr>
            <w:tcW w:w="4620" w:type="dxa"/>
            <w:vAlign w:val="bottom"/>
          </w:tcPr>
          <w:p>
            <w:pPr>
              <w:ind w:left="1120"/>
              <w:spacing w:after="0"/>
              <w:rPr>
                <w:sz w:val="20"/>
                <w:szCs w:val="20"/>
                <w:color w:val="auto"/>
              </w:rPr>
            </w:pPr>
            <w:r>
              <w:rPr>
                <w:rFonts w:ascii="Arial" w:cs="Arial" w:eastAsia="Arial" w:hAnsi="Arial"/>
                <w:sz w:val="11"/>
                <w:szCs w:val="11"/>
                <w:b w:val="1"/>
                <w:bCs w:val="1"/>
                <w:color w:val="auto"/>
              </w:rPr>
              <w:t xml:space="preserve">Net Interest Margin (FTE) </w:t>
            </w:r>
            <w:r>
              <w:rPr>
                <w:rFonts w:ascii="Arial" w:cs="Arial" w:eastAsia="Arial" w:hAnsi="Arial"/>
                <w:sz w:val="14"/>
                <w:szCs w:val="14"/>
                <w:b w:val="1"/>
                <w:bCs w:val="1"/>
                <w:color w:val="auto"/>
                <w:vertAlign w:val="superscript"/>
              </w:rPr>
              <w:t>(5)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1"/>
                <w:szCs w:val="11"/>
                <w:b w:val="1"/>
                <w:bCs w:val="1"/>
                <w:color w:val="auto"/>
                <w:w w:val="99"/>
              </w:rPr>
              <w:t>3.39 %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w w:val="99"/>
              </w:rPr>
              <w:t>3.23 %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140" w:hanging="114"/>
        <w:spacing w:after="0"/>
        <w:tabs>
          <w:tab w:leader="none" w:pos="140"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Average balance of securities is computed based on the average of the historical amortized cost balances without the effects of the fair value adjustments. Annualized amounts are computed utilizing a 30/360 day basis.</w:t>
      </w:r>
    </w:p>
    <w:p>
      <w:pPr>
        <w:spacing w:after="0" w:line="60" w:lineRule="exact"/>
        <w:rPr>
          <w:rFonts w:ascii="Arial" w:cs="Arial" w:eastAsia="Arial" w:hAnsi="Arial"/>
          <w:sz w:val="13"/>
          <w:szCs w:val="13"/>
          <w:color w:val="auto"/>
          <w:vertAlign w:val="superscript"/>
        </w:rPr>
      </w:pPr>
    </w:p>
    <w:p>
      <w:pPr>
        <w:ind w:left="20" w:right="300" w:firstLine="6"/>
        <w:spacing w:after="0" w:line="226" w:lineRule="auto"/>
        <w:tabs>
          <w:tab w:leader="none" w:pos="135"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Tax-exempt securities and loans are presented on an FTE basis, using a marginal tax rate of 21 percent for 2026 and 2025. These totals equal $19.0 million and $18.5 million for the nine months ended September 30, 2026 and 2025, respectively. For reconciliations of GAAP to the corresponding non-GAAP measures provided above, refer to the "NON-GAAP FINANCIAL MEASURES" section of this Management's Discussion and Analysis of Financial Condition and Results of Operations.</w:t>
      </w:r>
    </w:p>
    <w:p>
      <w:pPr>
        <w:spacing w:after="0" w:line="53" w:lineRule="exact"/>
        <w:rPr>
          <w:rFonts w:ascii="Arial" w:cs="Arial" w:eastAsia="Arial" w:hAnsi="Arial"/>
          <w:sz w:val="13"/>
          <w:szCs w:val="13"/>
          <w:color w:val="auto"/>
          <w:vertAlign w:val="superscript"/>
        </w:rPr>
      </w:pPr>
    </w:p>
    <w:p>
      <w:pPr>
        <w:ind w:left="140" w:hanging="114"/>
        <w:spacing w:after="0"/>
        <w:tabs>
          <w:tab w:leader="none" w:pos="140"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Nonaccrual loans have been included in the average balances.</w:t>
      </w:r>
    </w:p>
    <w:p>
      <w:pPr>
        <w:spacing w:after="0" w:line="60" w:lineRule="exact"/>
        <w:rPr>
          <w:rFonts w:ascii="Arial" w:cs="Arial" w:eastAsia="Arial" w:hAnsi="Arial"/>
          <w:sz w:val="13"/>
          <w:szCs w:val="13"/>
          <w:color w:val="auto"/>
          <w:vertAlign w:val="superscript"/>
        </w:rPr>
      </w:pPr>
    </w:p>
    <w:p>
      <w:pPr>
        <w:ind w:left="20" w:right="280" w:firstLine="6"/>
        <w:spacing w:after="0"/>
        <w:tabs>
          <w:tab w:leader="none" w:pos="135"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Net Interest Spread (FTE) is interest income expressed on a fully taxable-equivalent basis as a percentage of average earning assets minus interest expense expressed as a percentage of average interest-bearing liabilities. For reconciliations of GAAP to the corresponding non-GAAP measures provided above, refer to the "NON-GAAP FINANCIAL MEASURES" section of this Management's Discussion and Analysis of Financial Condition and Results of Operations.</w:t>
      </w:r>
    </w:p>
    <w:p>
      <w:pPr>
        <w:spacing w:after="0" w:line="154" w:lineRule="exact"/>
        <w:rPr>
          <w:rFonts w:ascii="Arial" w:cs="Arial" w:eastAsia="Arial" w:hAnsi="Arial"/>
          <w:sz w:val="13"/>
          <w:szCs w:val="13"/>
          <w:color w:val="auto"/>
          <w:vertAlign w:val="superscript"/>
        </w:rPr>
      </w:pPr>
    </w:p>
    <w:p>
      <w:pPr>
        <w:ind w:left="20" w:right="60" w:firstLine="6"/>
        <w:spacing w:after="0" w:line="226" w:lineRule="auto"/>
        <w:tabs>
          <w:tab w:leader="none" w:pos="135"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Net Interest Margin (FTE) is interest income on a fully taxable-equivalent basis expressed as a percentage of average earning assets minus interest expense expressed as a percentage of average earning assets. For reconciliations of GAAP to the corresponding non-GAAP measures provided above, refer to the “NON-GAAP FINANCIAL MEASURES” section of this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NONINTEREST INCOME</w:t>
      </w:r>
    </w:p>
    <w:p>
      <w:pPr>
        <w:spacing w:after="0" w:line="244" w:lineRule="exact"/>
        <w:rPr>
          <w:sz w:val="20"/>
          <w:szCs w:val="20"/>
          <w:color w:val="auto"/>
        </w:rPr>
      </w:pPr>
    </w:p>
    <w:p>
      <w:pPr>
        <w:ind w:right="20"/>
        <w:spacing w:after="0" w:line="168" w:lineRule="exact"/>
        <w:rPr>
          <w:sz w:val="20"/>
          <w:szCs w:val="20"/>
          <w:color w:val="auto"/>
        </w:rPr>
      </w:pPr>
      <w:r>
        <w:rPr>
          <w:rFonts w:ascii="Arial" w:cs="Arial" w:eastAsia="Arial" w:hAnsi="Arial"/>
          <w:sz w:val="14"/>
          <w:szCs w:val="14"/>
          <w:color w:val="auto"/>
        </w:rPr>
        <w:t>Noninterest income totaled $38.0 million for the three months ended September 30, 2026, representing an increase of $5.5 million, or 17.0 percent, compared to the same period in 2025. The increase was primarily driven by higher customer</w:t>
      </w:r>
      <w:r>
        <w:rPr>
          <w:rFonts w:ascii="MS PGothic" w:cs="MS PGothic" w:eastAsia="MS PGothic" w:hAnsi="MS PGothic"/>
          <w:sz w:val="14"/>
          <w:szCs w:val="14"/>
          <w:color w:val="auto"/>
        </w:rPr>
        <w:t>‑</w:t>
      </w:r>
      <w:r>
        <w:rPr>
          <w:rFonts w:ascii="Arial" w:cs="Arial" w:eastAsia="Arial" w:hAnsi="Arial"/>
          <w:sz w:val="14"/>
          <w:szCs w:val="14"/>
          <w:color w:val="auto"/>
        </w:rPr>
        <w:t>related fees, which increased $5.0 million to $34.3 million for the three months ended September 30, 2026 compared to the same period in 2025. The increase in customer</w:t>
      </w:r>
      <w:r>
        <w:rPr>
          <w:rFonts w:ascii="MS PGothic" w:cs="MS PGothic" w:eastAsia="MS PGothic" w:hAnsi="MS PGothic"/>
          <w:sz w:val="14"/>
          <w:szCs w:val="14"/>
          <w:color w:val="auto"/>
        </w:rPr>
        <w:t>‑</w:t>
      </w:r>
      <w:r>
        <w:rPr>
          <w:rFonts w:ascii="Arial" w:cs="Arial" w:eastAsia="Arial" w:hAnsi="Arial"/>
          <w:sz w:val="14"/>
          <w:szCs w:val="14"/>
          <w:color w:val="auto"/>
        </w:rPr>
        <w:t xml:space="preserve"> related fees was driven primarily by increases in net gains and fees on sales of loans of $2.4 million, higher fiduciary and wealth management fees of $0.9 million, increased service charges on deposit accounts of $0.9 million, and higher card payment fees of $0.6 million. The increase in net gains and fees on loan sales was primarily due to higher SBA loan fees generated following the acquisition of First Savings.</w:t>
      </w:r>
    </w:p>
    <w:p>
      <w:pPr>
        <w:spacing w:after="0" w:line="204" w:lineRule="exact"/>
        <w:rPr>
          <w:sz w:val="20"/>
          <w:szCs w:val="20"/>
          <w:color w:val="auto"/>
        </w:rPr>
      </w:pPr>
    </w:p>
    <w:p>
      <w:pPr>
        <w:ind w:right="20"/>
        <w:spacing w:after="0" w:line="166" w:lineRule="exact"/>
        <w:rPr>
          <w:sz w:val="20"/>
          <w:szCs w:val="20"/>
          <w:color w:val="auto"/>
        </w:rPr>
      </w:pPr>
      <w:r>
        <w:rPr>
          <w:rFonts w:ascii="Arial" w:cs="Arial" w:eastAsia="Arial" w:hAnsi="Arial"/>
          <w:sz w:val="14"/>
          <w:szCs w:val="14"/>
          <w:color w:val="auto"/>
        </w:rPr>
        <w:t>For the nine months ended September 30, 2026, noninterest income totaled $81.0 million, representing a decrease of $12.8 million, or 13.7 percent, compared to the same period in 2025. The decrease was driven primarily by a $29.8 million net loss recognized on mortgage loans that had been moved to held-for-sale and marked to fair value in the first quarter and were sold during the second quarter. This decline was partially offset by higher customer</w:t>
      </w:r>
      <w:r>
        <w:rPr>
          <w:rFonts w:ascii="MS PGothic" w:cs="MS PGothic" w:eastAsia="MS PGothic" w:hAnsi="MS PGothic"/>
          <w:sz w:val="14"/>
          <w:szCs w:val="14"/>
          <w:color w:val="auto"/>
        </w:rPr>
        <w:t>‑</w:t>
      </w:r>
      <w:r>
        <w:rPr>
          <w:rFonts w:ascii="Arial" w:cs="Arial" w:eastAsia="Arial" w:hAnsi="Arial"/>
          <w:sz w:val="14"/>
          <w:szCs w:val="14"/>
          <w:color w:val="auto"/>
        </w:rPr>
        <w:t>related fees, which increased $14.5 million to $100.3 million for the nine months ended September 30, 2026 compared to the same period in 2025. Customer-related fee growth was primarily attributable to higher net gains and fees on sales of loans of $5.8 million due to higher SBA gains generated following the acquisition of First Savings. Additionally, higher fiduciary and wealth management fees of $2.9 million reflected growth in assets under management and related fee income. Service charges on deposit accounts increased $2.6 million and card payment fees increased $1.9 million due to increased transaction volumes and card usage.</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NONINTEREST EXPENSE</w:t>
      </w:r>
    </w:p>
    <w:p>
      <w:pPr>
        <w:spacing w:after="0" w:line="258"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Noninterest expense totaled $116.3 million for the three months ended September 30, 2026, representing an increase of $19.7 million, or 20.4 percent, compared to the same period in 2025. The increase was driven primarily by higher salaries and employee benefits due to the acquisition of First Savings, with the related expense increasing $9.0 million to $66.3 million for the three months ended September 30, 2026. Other increases included net occupancy, marketing, other real estate owned, intangible asset amortization, and equipment, which increased $1.8 million, $1.5 million, $1.5 million, $1.2 million and $1.1 million, respectively, during the three months ended September 30, 2026, compared to the same period in 2025. Other expense increased $0.8 million primarily due to the write-down of a held-for-sale building and increased travel costs.</w:t>
      </w:r>
    </w:p>
    <w:p>
      <w:pPr>
        <w:spacing w:after="0" w:line="198"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For the nine months ended September 30, 2026, noninterest expense totaled $356.7 million, representing an increase of $73.7 million, or 26.0 percent, compared to the same period in 2025. The increase was driven primarily by higher salaries and employee benefits, which increased $34.7 million to $201.6 million for the nine months ended September 30, 2026. Integration and transaction-related expenses totaling $21.7 million were incurred during the nine months ended September 30, 2026, including $11.2 million of contract termination and similar charges, $5.9 million related to salaries and benefits, $3.0 million of acquisition-related professional and advisory services and $1.6 million in miscellaneous costs. Salaries and employee benefits expense, excluding integration and transaction-related expenses, increased by $28.8 million, primarily due to</w:t>
      </w:r>
    </w:p>
    <w:p>
      <w:pPr>
        <w:spacing w:after="0" w:line="2"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higher salaries and incentive costs associated with employees added through the First Savings acquisition during the nine months ended September 30, 2026, compared to the same period in 2025. Professional and other outside services, excluding integration and transaction-related expenses, increased $10.5 million during the nine months ended</w:t>
      </w:r>
    </w:p>
    <w:p>
      <w:pPr>
        <w:spacing w:after="0" w:line="1" w:lineRule="exact"/>
        <w:rPr>
          <w:sz w:val="20"/>
          <w:szCs w:val="20"/>
          <w:color w:val="auto"/>
        </w:rPr>
      </w:pPr>
    </w:p>
    <w:p>
      <w:pPr>
        <w:jc w:val="both"/>
        <w:ind w:right="180"/>
        <w:spacing w:after="0" w:line="256" w:lineRule="auto"/>
        <w:rPr>
          <w:sz w:val="20"/>
          <w:szCs w:val="20"/>
          <w:color w:val="auto"/>
        </w:rPr>
      </w:pPr>
      <w:r>
        <w:rPr>
          <w:rFonts w:ascii="Arial" w:cs="Arial" w:eastAsia="Arial" w:hAnsi="Arial"/>
          <w:sz w:val="14"/>
          <w:szCs w:val="14"/>
          <w:color w:val="auto"/>
        </w:rPr>
        <w:t>September 30, 2026, compared to the same period in 2025. Additionally, net occupancy, equipment, outside data processing fees and intangible asset amortization increased $4.2 million, $3.5 million</w:t>
      </w:r>
      <w:r>
        <w:rPr>
          <w:rFonts w:ascii="Times New Roman" w:cs="Times New Roman" w:eastAsia="Times New Roman" w:hAnsi="Times New Roman"/>
          <w:sz w:val="17"/>
          <w:szCs w:val="17"/>
          <w:color w:val="auto"/>
        </w:rPr>
        <w:t>,</w:t>
      </w:r>
      <w:r>
        <w:rPr>
          <w:rFonts w:ascii="Arial" w:cs="Arial" w:eastAsia="Arial" w:hAnsi="Arial"/>
          <w:sz w:val="14"/>
          <w:szCs w:val="14"/>
          <w:color w:val="auto"/>
        </w:rPr>
        <w:t xml:space="preserve"> $3.1 million and $3.1 million, respectively, during the nine months ended September 30, 2026, compared to the same period in 2025. Other expense increased $3.9 million primarily due to the write-down of a held-for-sale building, increased travel costs and other miscellaneous expenses.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258" w:lineRule="exact"/>
        <w:rPr>
          <w:sz w:val="20"/>
          <w:szCs w:val="20"/>
          <w:color w:val="auto"/>
        </w:rPr>
      </w:pPr>
    </w:p>
    <w:p>
      <w:pPr>
        <w:ind w:right="220"/>
        <w:spacing w:after="0" w:line="305" w:lineRule="auto"/>
        <w:rPr>
          <w:sz w:val="20"/>
          <w:szCs w:val="20"/>
          <w:color w:val="auto"/>
        </w:rPr>
      </w:pPr>
      <w:r>
        <w:rPr>
          <w:rFonts w:ascii="Arial" w:cs="Arial" w:eastAsia="Arial" w:hAnsi="Arial"/>
          <w:sz w:val="14"/>
          <w:szCs w:val="14"/>
          <w:color w:val="auto"/>
        </w:rPr>
        <w:t>Income tax expense for the three months ended September 30, 2026 was $11.2 million on pre-tax income of $79.5 million. For the same period in 2025, income tax expense was $8.5 million on pre-tax income of $65.3 million. The effective income tax rates for the third quarter of 2026 and 2025 were 14.1 percent and 13.0 percent, respectively.</w:t>
      </w:r>
    </w:p>
    <w:p>
      <w:pPr>
        <w:spacing w:after="0" w:line="185"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Income tax expense for the nine months ended September 30, 2026 was $13.9 million on pre-tax income of $154.4 million. For the same period in 2025, income tax expense was $24.7 million on pre-tax income of $193.6 million. The effective income tax rates for the nine months ended September 30, 2026 and 2025 were 9.0 percent and 12.7 percent, respectively.</w:t>
      </w:r>
    </w:p>
    <w:p>
      <w:pPr>
        <w:spacing w:after="0" w:line="207" w:lineRule="exact"/>
        <w:rPr>
          <w:sz w:val="20"/>
          <w:szCs w:val="20"/>
          <w:color w:val="auto"/>
        </w:rPr>
      </w:pPr>
    </w:p>
    <w:p>
      <w:pPr>
        <w:spacing w:after="0" w:line="176" w:lineRule="exact"/>
        <w:rPr>
          <w:sz w:val="20"/>
          <w:szCs w:val="20"/>
          <w:color w:val="auto"/>
        </w:rPr>
      </w:pPr>
      <w:r>
        <w:rPr>
          <w:rFonts w:ascii="Arial" w:cs="Arial" w:eastAsia="Arial" w:hAnsi="Arial"/>
          <w:sz w:val="14"/>
          <w:szCs w:val="14"/>
          <w:color w:val="auto"/>
        </w:rPr>
        <w:t>The effective income tax rate increased for the three months ended September 30, 2026 compared to the same period in 2025, primarily due to a lower proportion of tax-exempt income relative to total income before income taxes. Conversely, the effective income tax rate decreased for the nine months ended September 30, 2026, compared to the same period in 2025, primarily as a result of a higher proportion of tax-exempt income and greater utilization of income tax credits. Lower income before income taxes during the nine months ended September 30, 2026 also contributed to the decrease in the effective income tax rate and was attributable to integration and transaction</w:t>
      </w:r>
      <w:r>
        <w:rPr>
          <w:rFonts w:ascii="MS PGothic" w:cs="MS PGothic" w:eastAsia="MS PGothic" w:hAnsi="MS PGothic"/>
          <w:sz w:val="14"/>
          <w:szCs w:val="14"/>
          <w:color w:val="auto"/>
        </w:rPr>
        <w:t>‑</w:t>
      </w:r>
      <w:r>
        <w:rPr>
          <w:rFonts w:ascii="Arial" w:cs="Arial" w:eastAsia="Arial" w:hAnsi="Arial"/>
          <w:sz w:val="14"/>
          <w:szCs w:val="14"/>
          <w:color w:val="auto"/>
        </w:rPr>
        <w:t>related expenses resulting from the First Savings acquisition and the net loss on mortgage loans reclassified to held for sale.</w:t>
      </w:r>
    </w:p>
    <w:p>
      <w:pPr>
        <w:spacing w:after="0" w:line="232" w:lineRule="exact"/>
        <w:rPr>
          <w:sz w:val="20"/>
          <w:szCs w:val="20"/>
          <w:color w:val="auto"/>
        </w:rPr>
      </w:pPr>
    </w:p>
    <w:p>
      <w:pPr>
        <w:ind w:right="340"/>
        <w:spacing w:after="0" w:line="305" w:lineRule="auto"/>
        <w:rPr>
          <w:sz w:val="20"/>
          <w:szCs w:val="20"/>
          <w:color w:val="auto"/>
        </w:rPr>
      </w:pPr>
      <w:r>
        <w:rPr>
          <w:rFonts w:ascii="Arial" w:cs="Arial" w:eastAsia="Arial" w:hAnsi="Arial"/>
          <w:sz w:val="14"/>
          <w:szCs w:val="14"/>
          <w:color w:val="auto"/>
        </w:rPr>
        <w:t>The detailed reconciliation of income taxes computed at the federal statutory rate to the income tax expense and effective tax rate recorded is shown in NOTE 12. INCOME TAXES of the Notes to Consolidated Condensed Financial Statements of this Quarterly Report on Form 10-Q.</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Preferred Stock</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Level One acquisition, the Corporation issued 10,000 shares of newly created 7.5 percent non-cumulative perpetual preferred stock, with a liquidation preference</w:t>
      </w:r>
    </w:p>
    <w:p>
      <w:pPr>
        <w:spacing w:after="0" w:line="15"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of $2,500 per share, in exchange for the outstanding Level One Series B preferred stock, and as part of that exchange, each outstanding Level One depositary share representing a 1/100th interest in a share of the Level One preferred stock was converted into a depositary share of the Corporation representing a 1/100th interest in a share of</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its newly issued preferred stock. The Corporation had $25.0 million of outstanding preferred stock at September 30, 2026 and December 31, 2025. The Series A preferred stock is redeemable at the Corporation’s option, subject to any required regulatory approval, in whole or in part on any dividend payment date on or after August 15, 2025, at a redemption price of $2,500 per share, equivalent to $25.00 per depositary share, plus any declared and unpaid dividends to, but not including, the redemption date. During the three and nine months ended September 30, 2026 and 2025, the Corporation declared and paid dividends of $46.88 per share (equivalent to $0.4688 per depositary share) and $140.64 per share, respectively, equal to $0.5 million and $1.4 million, respectively. The Series A preferred stock qualifies as tier 1 capital for purposes of the regulatory capital calculations.</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 Repurchase Program</w:t>
      </w:r>
    </w:p>
    <w:p>
      <w:pPr>
        <w:spacing w:after="0" w:line="25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On March 18, 2025, the Board of Directors of the Corporation approved a stock repurchase program of up to 2,927,000 shares of the Corporation's outstanding common stock; provided, however, that the total aggregate investment in shares repurchased under the program may not exceed $100.0 million. On a share basis, the amount of common stock subject to the repurchase program represented approximately 5 percent of the Corporation's outstanding shares at the time the program became effective. The program was discontinued as of June 24, 2026. During the nine months ended September 30, 2026, and prior to the discontinuation of the program, the Corporation repurchased 1.0 million shares under the 2025 stock repurchase program for total consideration of $38.3 million, at an average purchase price of $39.21 per share. During the three and nine months ended September 30, 2025, the Corporation repurchased 0.2 million and 0.9 million shares of its common stock, respectively, under the program, for total consideration of $6.5 million and $36.5 million, respectively. The average purchase prices were $39.86 and $38.83 per share, respectively.</w:t>
      </w:r>
    </w:p>
    <w:p>
      <w:pPr>
        <w:spacing w:after="0" w:line="200"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On June 24, 2026, the Board of Directors of the Corporation approved a new stock repurchase program of up to 3,125,000 shares of the Corporation's outstanding common stock; provided, however, that the total aggregate investment in shares repurchased under the program may not exceed $100.0 million. On a share basis, the amount of common stock subject to the repurchase program represented approximately 5 percent of the Corporation's outstanding shares at the time the program became effective. During the three months ended September 30, 2026, the Corporation repurchased 0.3 million shares of its common stock under the 2026 stock repurchase program, for total consideration of $12.0 million, at an average purchase price of $41.78 per share. During the nine months ended September 30, 2026, the Corporation repurchased an aggregate of 1.3 million shares of its common stock under the 2025 and 2026 stock repurchase programs, for total consideration of $50.3 million, at an average purchase price of $39.79 per share.</w:t>
      </w:r>
    </w:p>
    <w:p>
      <w:pPr>
        <w:spacing w:after="0" w:line="387"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In August 2022, the Inflation Reduction Act of 2022 (the "IRA") was enacted. Among other things, the IRA imposes a 1 percent excise tax on the fair market value of stock repurchased after December 31, 2022, by publicly traded U.S. corporations, including the Corporation. With certain exceptions, the value of stock repurchased is determined net of stock issued in the year, including shares issued pursuant to compensatory arrangements. During the three and nine months ended September 30, 2026, the Corporation recorded excise tax of $0.1 million and $0.4 million, respectively. During the three and nine months ended September 30, 2025, the Corporation recorded excise tax of $32,000 and $0.3 million, respectively, related to its share repurchases during the period, which is reflected in the Consolidated Condensed Statements of Stockholders' Equity as a component of additional paid-in capital.</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Regulatory Capital</w:t>
      </w:r>
    </w:p>
    <w:p>
      <w:pPr>
        <w:spacing w:after="0" w:line="258" w:lineRule="exact"/>
        <w:rPr>
          <w:sz w:val="20"/>
          <w:szCs w:val="20"/>
          <w:color w:val="auto"/>
        </w:rPr>
      </w:pPr>
    </w:p>
    <w:p>
      <w:pPr>
        <w:ind w:right="400"/>
        <w:spacing w:after="0" w:line="267" w:lineRule="auto"/>
        <w:rPr>
          <w:sz w:val="20"/>
          <w:szCs w:val="20"/>
          <w:color w:val="auto"/>
        </w:rPr>
      </w:pPr>
      <w:r>
        <w:rPr>
          <w:rFonts w:ascii="Arial" w:cs="Arial" w:eastAsia="Arial" w:hAnsi="Arial"/>
          <w:sz w:val="14"/>
          <w:szCs w:val="14"/>
          <w:color w:val="auto"/>
        </w:rPr>
        <w:t>Capital adequacy is an important indicator of financial stability and performance. The Corporation and the Bank are subject to various regulatory capital requirements administered by the federal banking agencies and are assigned to a capital category. The assigned capital category is largely determined by four ratios that are calculated according to the regulations: total risk-based capital, tier 1 risk-based capital, common equity tier 1 ("CET1"), and tier 1 leverage ratios. The ratios are intended to measure capital relative to assets and credit risk associated with those assets and off-balance sheet exposures of the entity. The capital category assigned to an entity can also be affected by qualitative judgments made by regulatory agencies about the risk inherent in the entity's activities that are not part of the calculated ratios.</w:t>
      </w:r>
    </w:p>
    <w:p>
      <w:pPr>
        <w:spacing w:after="0" w:line="21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There are five capital categories defined in the regulations, ranging from well capitalized to critically undercapitalized. Classification of a bank in any of the undercapitalized categories can result in actions by regulators that could have a material effect on a bank's operations. Quantitative measures established by regulation to ensure capital adequacy require the Bank to maintain minimum amounts and ratios of total risk-based capital, tier 1 capital, and CET1 capital, in each case, to risk-weighted assets, and of tier 1 capital to average assets, or leverage ratio, all of which are calculated as defined in the regulations. Banks with lower capital levels are deemed to be undercapitalized, significantly undercapitalized or critically undercapitalized, depending on their actual levels. The appropriate federal regulatory agency may also downgrade a bank to the next lower capital category upon a determination that the bank is deemed to be engaged or deemed to be in an unsafe or unsound condition. Banks are required to monitor closely their capital levels and to notify their appropriate regulatory agency of any basis for a change in capital category.</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Under the fully phased-in Basel III capital rules, the Corporation and the Bank maintain the minimum capital and leverage ratios, including a 2.5 percent capital conservation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buffer, as illustrated in the tables below. In order to avoid limitations on capital distributions, including dividends, the Corporation must maintain capital levels above these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minimum requirements. The Corporation and Bank have elected to opt out of including accumulated other comprehensive income (loss) in regulatory capital. As of</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2026, the Bank met all capital adequacy requirements to be considered well capitalized under the fully phased-in Basel III capital rules. There is no threshold for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well capitalized status for bank holding companies.</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Corporation's and Bank's actual and required capital ratios as of September 30, 2026 and December 31, 2025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6"/>
          </w:tcPr>
          <w:p>
            <w:pPr>
              <w:ind w:left="380"/>
              <w:spacing w:after="0"/>
              <w:rPr>
                <w:sz w:val="20"/>
                <w:szCs w:val="20"/>
                <w:color w:val="auto"/>
              </w:rPr>
            </w:pPr>
            <w:r>
              <w:rPr>
                <w:rFonts w:ascii="Arial" w:cs="Arial" w:eastAsia="Arial" w:hAnsi="Arial"/>
                <w:sz w:val="11"/>
                <w:szCs w:val="11"/>
                <w:b w:val="1"/>
                <w:bCs w:val="1"/>
                <w:color w:val="auto"/>
              </w:rPr>
              <w:t>Prompt Corrective Action Thresholds</w:t>
            </w:r>
          </w:p>
        </w:tc>
        <w:tc>
          <w:tcPr>
            <w:tcW w:w="840" w:type="dxa"/>
            <w:vAlign w:val="bottom"/>
            <w:tcBorders>
              <w:bottom w:val="single" w:sz="8" w:color="auto"/>
            </w:tcBorders>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b w:val="1"/>
                <w:bCs w:val="1"/>
                <w:color w:val="auto"/>
              </w:rPr>
              <w:t>Actual</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Basel III Minimum Capital Required</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1"/>
                <w:szCs w:val="11"/>
                <w:b w:val="1"/>
                <w:bCs w:val="1"/>
                <w:color w:val="auto"/>
              </w:rPr>
              <w:t>Well Capitalized</w:t>
            </w:r>
          </w:p>
        </w:tc>
        <w:tc>
          <w:tcPr>
            <w:tcW w:w="840" w:type="dxa"/>
            <w:vAlign w:val="bottom"/>
            <w:tcBorders>
              <w:bottom w:val="single" w:sz="8" w:color="auto"/>
            </w:tcBorders>
          </w:tcPr>
          <w:p>
            <w:pPr>
              <w:spacing w:after="0"/>
              <w:rPr>
                <w:sz w:val="13"/>
                <w:szCs w:val="13"/>
                <w:color w:val="auto"/>
              </w:rPr>
            </w:pPr>
          </w:p>
        </w:tc>
      </w:tr>
      <w:tr>
        <w:trPr>
          <w:trHeight w:val="155"/>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September 30, 2026</w:t>
            </w:r>
          </w:p>
        </w:tc>
        <w:tc>
          <w:tcPr>
            <w:tcW w:w="240" w:type="dxa"/>
            <w:vAlign w:val="bottom"/>
          </w:tcPr>
          <w:p>
            <w:pPr>
              <w:spacing w:after="0"/>
              <w:rPr>
                <w:sz w:val="13"/>
                <w:szCs w:val="13"/>
                <w:color w:val="auto"/>
              </w:rPr>
            </w:pPr>
          </w:p>
        </w:tc>
        <w:tc>
          <w:tcPr>
            <w:tcW w:w="1400" w:type="dxa"/>
            <w:vAlign w:val="bottom"/>
            <w:gridSpan w:val="3"/>
          </w:tcPr>
          <w:p>
            <w:pPr>
              <w:ind w:left="160"/>
              <w:spacing w:after="0"/>
              <w:rPr>
                <w:sz w:val="20"/>
                <w:szCs w:val="20"/>
                <w:color w:val="auto"/>
              </w:rPr>
            </w:pPr>
            <w:r>
              <w:rPr>
                <w:rFonts w:ascii="Arial" w:cs="Arial" w:eastAsia="Arial" w:hAnsi="Arial"/>
                <w:sz w:val="11"/>
                <w:szCs w:val="11"/>
                <w:b w:val="1"/>
                <w:bCs w:val="1"/>
                <w:color w:val="auto"/>
              </w:rPr>
              <w:t>Amount</w:t>
            </w:r>
          </w:p>
        </w:tc>
        <w:tc>
          <w:tcPr>
            <w:tcW w:w="1060" w:type="dxa"/>
            <w:vAlign w:val="bottom"/>
            <w:gridSpan w:val="2"/>
          </w:tcPr>
          <w:p>
            <w:pPr>
              <w:ind w:left="180"/>
              <w:spacing w:after="0"/>
              <w:rPr>
                <w:sz w:val="20"/>
                <w:szCs w:val="20"/>
                <w:color w:val="auto"/>
              </w:rPr>
            </w:pPr>
            <w:r>
              <w:rPr>
                <w:rFonts w:ascii="Arial" w:cs="Arial" w:eastAsia="Arial" w:hAnsi="Arial"/>
                <w:sz w:val="11"/>
                <w:szCs w:val="11"/>
                <w:b w:val="1"/>
                <w:bCs w:val="1"/>
                <w:color w:val="auto"/>
              </w:rPr>
              <w:t>Ratio</w:t>
            </w:r>
          </w:p>
        </w:tc>
        <w:tc>
          <w:tcPr>
            <w:tcW w:w="24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1380" w:type="dxa"/>
            <w:vAlign w:val="bottom"/>
            <w:gridSpan w:val="2"/>
          </w:tcPr>
          <w:p>
            <w:pPr>
              <w:ind w:left="500"/>
              <w:spacing w:after="0"/>
              <w:rPr>
                <w:sz w:val="20"/>
                <w:szCs w:val="20"/>
                <w:color w:val="auto"/>
              </w:rPr>
            </w:pPr>
            <w:r>
              <w:rPr>
                <w:rFonts w:ascii="Arial" w:cs="Arial" w:eastAsia="Arial" w:hAnsi="Arial"/>
                <w:sz w:val="11"/>
                <w:szCs w:val="11"/>
                <w:b w:val="1"/>
                <w:bCs w:val="1"/>
                <w:color w:val="auto"/>
              </w:rPr>
              <w:t>Ratio</w:t>
            </w:r>
          </w:p>
        </w:tc>
        <w:tc>
          <w:tcPr>
            <w:tcW w:w="240" w:type="dxa"/>
            <w:vAlign w:val="bottom"/>
          </w:tcPr>
          <w:p>
            <w:pPr>
              <w:spacing w:after="0"/>
              <w:rPr>
                <w:sz w:val="13"/>
                <w:szCs w:val="13"/>
                <w:color w:val="auto"/>
              </w:rPr>
            </w:pPr>
          </w:p>
        </w:tc>
        <w:tc>
          <w:tcPr>
            <w:tcW w:w="1520" w:type="dxa"/>
            <w:vAlign w:val="bottom"/>
            <w:gridSpan w:val="3"/>
          </w:tcPr>
          <w:p>
            <w:pPr>
              <w:ind w:left="160"/>
              <w:spacing w:after="0"/>
              <w:rPr>
                <w:sz w:val="20"/>
                <w:szCs w:val="20"/>
                <w:color w:val="auto"/>
              </w:rPr>
            </w:pPr>
            <w:r>
              <w:rPr>
                <w:rFonts w:ascii="Arial" w:cs="Arial" w:eastAsia="Arial" w:hAnsi="Arial"/>
                <w:sz w:val="11"/>
                <w:szCs w:val="11"/>
                <w:b w:val="1"/>
                <w:bCs w:val="1"/>
                <w:color w:val="auto"/>
              </w:rPr>
              <w:t>Amount</w:t>
            </w:r>
          </w:p>
        </w:tc>
        <w:tc>
          <w:tcPr>
            <w:tcW w:w="840" w:type="dxa"/>
            <w:vAlign w:val="bottom"/>
          </w:tcPr>
          <w:p>
            <w:pPr>
              <w:jc w:val="right"/>
              <w:ind w:right="446"/>
              <w:spacing w:after="0"/>
              <w:rPr>
                <w:sz w:val="20"/>
                <w:szCs w:val="20"/>
                <w:color w:val="auto"/>
              </w:rPr>
            </w:pPr>
            <w:r>
              <w:rPr>
                <w:rFonts w:ascii="Arial" w:cs="Arial" w:eastAsia="Arial" w:hAnsi="Arial"/>
                <w:sz w:val="11"/>
                <w:szCs w:val="11"/>
                <w:b w:val="1"/>
                <w:bCs w:val="1"/>
                <w:color w:val="auto"/>
              </w:rPr>
              <w:t>Ratio</w:t>
            </w:r>
          </w:p>
        </w:tc>
      </w:tr>
      <w:tr>
        <w:trPr>
          <w:trHeight w:val="162"/>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Total risk-based capital to risk-weighted assets</w:t>
            </w: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42"/>
        </w:trPr>
        <w:tc>
          <w:tcPr>
            <w:tcW w:w="3240" w:type="dxa"/>
            <w:vAlign w:val="bottom"/>
          </w:tcPr>
          <w:p>
            <w:pPr>
              <w:ind w:left="360"/>
              <w:spacing w:after="0"/>
              <w:rPr>
                <w:sz w:val="20"/>
                <w:szCs w:val="20"/>
                <w:color w:val="auto"/>
              </w:rPr>
            </w:pPr>
            <w:r>
              <w:rPr>
                <w:rFonts w:ascii="Arial" w:cs="Arial" w:eastAsia="Arial" w:hAnsi="Arial"/>
                <w:sz w:val="11"/>
                <w:szCs w:val="11"/>
                <w:color w:val="auto"/>
              </w:rPr>
              <w:t>First Merchants Corporation</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2,444,604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13.58 %</w:t>
            </w: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1,890,558</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10.50 %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ind w:left="780"/>
              <w:spacing w:after="0"/>
              <w:rPr>
                <w:sz w:val="20"/>
                <w:szCs w:val="20"/>
                <w:color w:val="auto"/>
              </w:rPr>
            </w:pPr>
            <w:r>
              <w:rPr>
                <w:rFonts w:ascii="Arial" w:cs="Arial" w:eastAsia="Arial" w:hAnsi="Arial"/>
                <w:sz w:val="11"/>
                <w:szCs w:val="11"/>
                <w:color w:val="auto"/>
              </w:rPr>
              <w:t>N/A</w:t>
            </w:r>
          </w:p>
        </w:tc>
        <w:tc>
          <w:tcPr>
            <w:tcW w:w="840" w:type="dxa"/>
            <w:vAlign w:val="bottom"/>
          </w:tcPr>
          <w:p>
            <w:pPr>
              <w:jc w:val="right"/>
              <w:spacing w:after="0"/>
              <w:rPr>
                <w:sz w:val="20"/>
                <w:szCs w:val="20"/>
                <w:color w:val="auto"/>
              </w:rPr>
            </w:pPr>
            <w:r>
              <w:rPr>
                <w:rFonts w:ascii="Arial" w:cs="Arial" w:eastAsia="Arial" w:hAnsi="Arial"/>
                <w:sz w:val="11"/>
                <w:szCs w:val="11"/>
                <w:color w:val="auto"/>
              </w:rPr>
              <w:t>N/A</w:t>
            </w: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2"/>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First Merchants Bank</w:t>
            </w:r>
          </w:p>
        </w:tc>
        <w:tc>
          <w:tcPr>
            <w:tcW w:w="2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2,299,723</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12.77</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1,890,354</w:t>
            </w:r>
          </w:p>
        </w:tc>
        <w:tc>
          <w:tcPr>
            <w:tcW w:w="1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10.50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1,800,337</w:t>
            </w: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10.00 %</w:t>
            </w:r>
          </w:p>
        </w:tc>
      </w:tr>
      <w:tr>
        <w:trPr>
          <w:trHeight w:val="142"/>
        </w:trPr>
        <w:tc>
          <w:tcPr>
            <w:tcW w:w="3240" w:type="dxa"/>
            <w:vAlign w:val="bottom"/>
          </w:tcPr>
          <w:p>
            <w:pPr>
              <w:ind w:left="20"/>
              <w:spacing w:after="0"/>
              <w:rPr>
                <w:sz w:val="20"/>
                <w:szCs w:val="20"/>
                <w:color w:val="auto"/>
              </w:rPr>
            </w:pPr>
            <w:r>
              <w:rPr>
                <w:rFonts w:ascii="Arial" w:cs="Arial" w:eastAsia="Arial" w:hAnsi="Arial"/>
                <w:sz w:val="11"/>
                <w:szCs w:val="11"/>
                <w:color w:val="auto"/>
              </w:rPr>
              <w:t>Tier 1 capital to risk-weighted assets</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2"/>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First Merchants Corporation</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2,044,876</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11.36 %</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1,530,452</w:t>
            </w:r>
          </w:p>
        </w:tc>
        <w:tc>
          <w:tcPr>
            <w:tcW w:w="1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8.50 %</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1"/>
                <w:szCs w:val="11"/>
                <w:color w:val="auto"/>
              </w:rPr>
              <w:t>N/A</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N/A</w:t>
            </w:r>
          </w:p>
        </w:tc>
      </w:tr>
      <w:tr>
        <w:trPr>
          <w:trHeight w:val="152"/>
        </w:trPr>
        <w:tc>
          <w:tcPr>
            <w:tcW w:w="3240" w:type="dxa"/>
            <w:vAlign w:val="bottom"/>
          </w:tcPr>
          <w:p>
            <w:pPr>
              <w:ind w:left="360"/>
              <w:spacing w:after="0"/>
              <w:rPr>
                <w:sz w:val="20"/>
                <w:szCs w:val="20"/>
                <w:color w:val="auto"/>
              </w:rPr>
            </w:pPr>
            <w:r>
              <w:rPr>
                <w:rFonts w:ascii="Arial" w:cs="Arial" w:eastAsia="Arial" w:hAnsi="Arial"/>
                <w:sz w:val="11"/>
                <w:szCs w:val="11"/>
                <w:color w:val="auto"/>
              </w:rPr>
              <w:t>First Merchants Bank</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2,074,633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11.52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1,530,287</w:t>
            </w:r>
          </w:p>
        </w:tc>
        <w:tc>
          <w:tcPr>
            <w:tcW w:w="120" w:type="dxa"/>
            <w:vAlign w:val="bottom"/>
          </w:tcPr>
          <w:p>
            <w:pPr>
              <w:spacing w:after="0"/>
              <w:rPr>
                <w:sz w:val="13"/>
                <w:szCs w:val="13"/>
                <w:color w:val="auto"/>
              </w:rPr>
            </w:pPr>
          </w:p>
        </w:tc>
        <w:tc>
          <w:tcPr>
            <w:tcW w:w="1280" w:type="dxa"/>
            <w:vAlign w:val="bottom"/>
          </w:tcPr>
          <w:p>
            <w:pPr>
              <w:jc w:val="right"/>
              <w:ind w:right="106"/>
              <w:spacing w:after="0"/>
              <w:rPr>
                <w:sz w:val="20"/>
                <w:szCs w:val="20"/>
                <w:color w:val="auto"/>
              </w:rPr>
            </w:pPr>
            <w:r>
              <w:rPr>
                <w:rFonts w:ascii="Arial" w:cs="Arial" w:eastAsia="Arial" w:hAnsi="Arial"/>
                <w:sz w:val="11"/>
                <w:szCs w:val="11"/>
                <w:color w:val="auto"/>
              </w:rPr>
              <w:t>8.50</w:t>
            </w:r>
          </w:p>
        </w:tc>
        <w:tc>
          <w:tcPr>
            <w:tcW w:w="10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1,440,270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8.00 %</w:t>
            </w:r>
          </w:p>
        </w:tc>
      </w:tr>
      <w:tr>
        <w:trPr>
          <w:trHeight w:val="15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equity tier 1 capital to risk-weighted assets</w:t>
            </w: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42"/>
        </w:trPr>
        <w:tc>
          <w:tcPr>
            <w:tcW w:w="3240" w:type="dxa"/>
            <w:vAlign w:val="bottom"/>
          </w:tcPr>
          <w:p>
            <w:pPr>
              <w:ind w:left="360"/>
              <w:spacing w:after="0"/>
              <w:rPr>
                <w:sz w:val="20"/>
                <w:szCs w:val="20"/>
                <w:color w:val="auto"/>
              </w:rPr>
            </w:pPr>
            <w:r>
              <w:rPr>
                <w:rFonts w:ascii="Arial" w:cs="Arial" w:eastAsia="Arial" w:hAnsi="Arial"/>
                <w:sz w:val="11"/>
                <w:szCs w:val="11"/>
                <w:color w:val="auto"/>
              </w:rPr>
              <w:t>First Merchants Corporation</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2,019,876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11.22 %</w:t>
            </w: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1,260,372</w:t>
            </w:r>
          </w:p>
        </w:tc>
        <w:tc>
          <w:tcPr>
            <w:tcW w:w="1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7.00 %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ind w:left="780"/>
              <w:spacing w:after="0"/>
              <w:rPr>
                <w:sz w:val="20"/>
                <w:szCs w:val="20"/>
                <w:color w:val="auto"/>
              </w:rPr>
            </w:pPr>
            <w:r>
              <w:rPr>
                <w:rFonts w:ascii="Arial" w:cs="Arial" w:eastAsia="Arial" w:hAnsi="Arial"/>
                <w:sz w:val="11"/>
                <w:szCs w:val="11"/>
                <w:color w:val="auto"/>
              </w:rPr>
              <w:t>N/A</w:t>
            </w:r>
          </w:p>
        </w:tc>
        <w:tc>
          <w:tcPr>
            <w:tcW w:w="840" w:type="dxa"/>
            <w:vAlign w:val="bottom"/>
          </w:tcPr>
          <w:p>
            <w:pPr>
              <w:jc w:val="right"/>
              <w:spacing w:after="0"/>
              <w:rPr>
                <w:sz w:val="20"/>
                <w:szCs w:val="20"/>
                <w:color w:val="auto"/>
              </w:rPr>
            </w:pPr>
            <w:r>
              <w:rPr>
                <w:rFonts w:ascii="Arial" w:cs="Arial" w:eastAsia="Arial" w:hAnsi="Arial"/>
                <w:sz w:val="11"/>
                <w:szCs w:val="11"/>
                <w:color w:val="auto"/>
              </w:rPr>
              <w:t>N/A</w:t>
            </w: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2"/>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First Merchants Bank</w:t>
            </w:r>
          </w:p>
        </w:tc>
        <w:tc>
          <w:tcPr>
            <w:tcW w:w="2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2,074,633</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11.52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1,260,236</w:t>
            </w:r>
          </w:p>
        </w:tc>
        <w:tc>
          <w:tcPr>
            <w:tcW w:w="1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7.00</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1,170,219</w:t>
            </w: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6.50 %</w:t>
            </w:r>
          </w:p>
        </w:tc>
      </w:tr>
      <w:tr>
        <w:trPr>
          <w:trHeight w:val="142"/>
        </w:trPr>
        <w:tc>
          <w:tcPr>
            <w:tcW w:w="3240" w:type="dxa"/>
            <w:vAlign w:val="bottom"/>
          </w:tcPr>
          <w:p>
            <w:pPr>
              <w:ind w:left="20"/>
              <w:spacing w:after="0"/>
              <w:rPr>
                <w:sz w:val="20"/>
                <w:szCs w:val="20"/>
                <w:color w:val="auto"/>
              </w:rPr>
            </w:pPr>
            <w:r>
              <w:rPr>
                <w:rFonts w:ascii="Arial" w:cs="Arial" w:eastAsia="Arial" w:hAnsi="Arial"/>
                <w:sz w:val="11"/>
                <w:szCs w:val="11"/>
                <w:color w:val="auto"/>
              </w:rPr>
              <w:t>Tier 1 capital to average assets</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2"/>
        </w:trPr>
        <w:tc>
          <w:tcPr>
            <w:tcW w:w="32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First Merchants Corporation</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2,044,876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809,858</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ind w:left="780"/>
              <w:spacing w:after="0"/>
              <w:rPr>
                <w:sz w:val="20"/>
                <w:szCs w:val="20"/>
                <w:color w:val="auto"/>
              </w:rPr>
            </w:pPr>
            <w:r>
              <w:rPr>
                <w:rFonts w:ascii="Arial" w:cs="Arial" w:eastAsia="Arial" w:hAnsi="Arial"/>
                <w:sz w:val="11"/>
                <w:szCs w:val="11"/>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r>
      <w:tr>
        <w:trPr>
          <w:trHeight w:val="142"/>
        </w:trPr>
        <w:tc>
          <w:tcPr>
            <w:tcW w:w="3240" w:type="dxa"/>
            <w:vAlign w:val="bottom"/>
          </w:tcPr>
          <w:p>
            <w:pPr>
              <w:ind w:left="360"/>
              <w:spacing w:after="0"/>
              <w:rPr>
                <w:sz w:val="20"/>
                <w:szCs w:val="20"/>
                <w:color w:val="auto"/>
              </w:rPr>
            </w:pPr>
            <w:r>
              <w:rPr>
                <w:rFonts w:ascii="Arial" w:cs="Arial" w:eastAsia="Arial" w:hAnsi="Arial"/>
                <w:sz w:val="11"/>
                <w:szCs w:val="11"/>
                <w:color w:val="auto"/>
              </w:rPr>
              <w:t>First Merchants Bank</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2,074,633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10.18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815,206</w:t>
            </w:r>
          </w:p>
        </w:tc>
        <w:tc>
          <w:tcPr>
            <w:tcW w:w="120" w:type="dxa"/>
            <w:vAlign w:val="bottom"/>
          </w:tcPr>
          <w:p>
            <w:pPr>
              <w:spacing w:after="0"/>
              <w:rPr>
                <w:sz w:val="12"/>
                <w:szCs w:val="12"/>
                <w:color w:val="auto"/>
              </w:rPr>
            </w:pPr>
          </w:p>
        </w:tc>
        <w:tc>
          <w:tcPr>
            <w:tcW w:w="1280" w:type="dxa"/>
            <w:vAlign w:val="bottom"/>
          </w:tcPr>
          <w:p>
            <w:pPr>
              <w:jc w:val="right"/>
              <w:ind w:right="106"/>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1,019,008</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5.00 %</w:t>
            </w:r>
          </w:p>
        </w:tc>
      </w:tr>
    </w:tbl>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6"/>
          </w:tcPr>
          <w:p>
            <w:pPr>
              <w:ind w:left="380"/>
              <w:spacing w:after="0"/>
              <w:rPr>
                <w:sz w:val="20"/>
                <w:szCs w:val="20"/>
                <w:color w:val="auto"/>
              </w:rPr>
            </w:pPr>
            <w:r>
              <w:rPr>
                <w:rFonts w:ascii="Arial" w:cs="Arial" w:eastAsia="Arial" w:hAnsi="Arial"/>
                <w:sz w:val="11"/>
                <w:szCs w:val="11"/>
                <w:b w:val="1"/>
                <w:bCs w:val="1"/>
                <w:color w:val="auto"/>
              </w:rPr>
              <w:t>Prompt Corrective Action Thresholds</w:t>
            </w:r>
          </w:p>
        </w:tc>
        <w:tc>
          <w:tcPr>
            <w:tcW w:w="840" w:type="dxa"/>
            <w:vAlign w:val="bottom"/>
            <w:tcBorders>
              <w:bottom w:val="single" w:sz="8" w:color="auto"/>
            </w:tcBorders>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b w:val="1"/>
                <w:bCs w:val="1"/>
                <w:color w:val="auto"/>
              </w:rPr>
              <w:t>Actual</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Basel III Minimum Capital Required</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1"/>
                <w:szCs w:val="11"/>
                <w:b w:val="1"/>
                <w:bCs w:val="1"/>
                <w:color w:val="auto"/>
              </w:rPr>
              <w:t>Well Capitalized</w:t>
            </w:r>
          </w:p>
        </w:tc>
        <w:tc>
          <w:tcPr>
            <w:tcW w:w="840" w:type="dxa"/>
            <w:vAlign w:val="bottom"/>
            <w:tcBorders>
              <w:bottom w:val="single" w:sz="8" w:color="auto"/>
            </w:tcBorders>
          </w:tcPr>
          <w:p>
            <w:pPr>
              <w:spacing w:after="0"/>
              <w:rPr>
                <w:sz w:val="13"/>
                <w:szCs w:val="13"/>
                <w:color w:val="auto"/>
              </w:rPr>
            </w:pPr>
          </w:p>
        </w:tc>
      </w:tr>
      <w:tr>
        <w:trPr>
          <w:trHeight w:val="156"/>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December 31, 2025</w:t>
            </w:r>
          </w:p>
        </w:tc>
        <w:tc>
          <w:tcPr>
            <w:tcW w:w="240" w:type="dxa"/>
            <w:vAlign w:val="bottom"/>
          </w:tcPr>
          <w:p>
            <w:pPr>
              <w:spacing w:after="0"/>
              <w:rPr>
                <w:sz w:val="13"/>
                <w:szCs w:val="13"/>
                <w:color w:val="auto"/>
              </w:rPr>
            </w:pPr>
          </w:p>
        </w:tc>
        <w:tc>
          <w:tcPr>
            <w:tcW w:w="1400" w:type="dxa"/>
            <w:vAlign w:val="bottom"/>
            <w:gridSpan w:val="3"/>
          </w:tcPr>
          <w:p>
            <w:pPr>
              <w:ind w:left="160"/>
              <w:spacing w:after="0"/>
              <w:rPr>
                <w:sz w:val="20"/>
                <w:szCs w:val="20"/>
                <w:color w:val="auto"/>
              </w:rPr>
            </w:pPr>
            <w:r>
              <w:rPr>
                <w:rFonts w:ascii="Arial" w:cs="Arial" w:eastAsia="Arial" w:hAnsi="Arial"/>
                <w:sz w:val="11"/>
                <w:szCs w:val="11"/>
                <w:b w:val="1"/>
                <w:bCs w:val="1"/>
                <w:color w:val="auto"/>
              </w:rPr>
              <w:t>Amount</w:t>
            </w:r>
          </w:p>
        </w:tc>
        <w:tc>
          <w:tcPr>
            <w:tcW w:w="1060" w:type="dxa"/>
            <w:vAlign w:val="bottom"/>
            <w:gridSpan w:val="2"/>
          </w:tcPr>
          <w:p>
            <w:pPr>
              <w:ind w:left="180"/>
              <w:spacing w:after="0"/>
              <w:rPr>
                <w:sz w:val="20"/>
                <w:szCs w:val="20"/>
                <w:color w:val="auto"/>
              </w:rPr>
            </w:pPr>
            <w:r>
              <w:rPr>
                <w:rFonts w:ascii="Arial" w:cs="Arial" w:eastAsia="Arial" w:hAnsi="Arial"/>
                <w:sz w:val="11"/>
                <w:szCs w:val="11"/>
                <w:b w:val="1"/>
                <w:bCs w:val="1"/>
                <w:color w:val="auto"/>
              </w:rPr>
              <w:t>Ratio</w:t>
            </w:r>
          </w:p>
        </w:tc>
        <w:tc>
          <w:tcPr>
            <w:tcW w:w="24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Amount</w:t>
            </w:r>
          </w:p>
        </w:tc>
        <w:tc>
          <w:tcPr>
            <w:tcW w:w="1380" w:type="dxa"/>
            <w:vAlign w:val="bottom"/>
            <w:gridSpan w:val="2"/>
          </w:tcPr>
          <w:p>
            <w:pPr>
              <w:ind w:left="500"/>
              <w:spacing w:after="0"/>
              <w:rPr>
                <w:sz w:val="20"/>
                <w:szCs w:val="20"/>
                <w:color w:val="auto"/>
              </w:rPr>
            </w:pPr>
            <w:r>
              <w:rPr>
                <w:rFonts w:ascii="Arial" w:cs="Arial" w:eastAsia="Arial" w:hAnsi="Arial"/>
                <w:sz w:val="11"/>
                <w:szCs w:val="11"/>
                <w:b w:val="1"/>
                <w:bCs w:val="1"/>
                <w:color w:val="auto"/>
              </w:rPr>
              <w:t>Ratio</w:t>
            </w:r>
          </w:p>
        </w:tc>
        <w:tc>
          <w:tcPr>
            <w:tcW w:w="240" w:type="dxa"/>
            <w:vAlign w:val="bottom"/>
          </w:tcPr>
          <w:p>
            <w:pPr>
              <w:spacing w:after="0"/>
              <w:rPr>
                <w:sz w:val="13"/>
                <w:szCs w:val="13"/>
                <w:color w:val="auto"/>
              </w:rPr>
            </w:pPr>
          </w:p>
        </w:tc>
        <w:tc>
          <w:tcPr>
            <w:tcW w:w="1520" w:type="dxa"/>
            <w:vAlign w:val="bottom"/>
            <w:gridSpan w:val="3"/>
          </w:tcPr>
          <w:p>
            <w:pPr>
              <w:ind w:left="160"/>
              <w:spacing w:after="0"/>
              <w:rPr>
                <w:sz w:val="20"/>
                <w:szCs w:val="20"/>
                <w:color w:val="auto"/>
              </w:rPr>
            </w:pPr>
            <w:r>
              <w:rPr>
                <w:rFonts w:ascii="Arial" w:cs="Arial" w:eastAsia="Arial" w:hAnsi="Arial"/>
                <w:sz w:val="11"/>
                <w:szCs w:val="11"/>
                <w:b w:val="1"/>
                <w:bCs w:val="1"/>
                <w:color w:val="auto"/>
              </w:rPr>
              <w:t>Amount</w:t>
            </w:r>
          </w:p>
        </w:tc>
        <w:tc>
          <w:tcPr>
            <w:tcW w:w="840" w:type="dxa"/>
            <w:vAlign w:val="bottom"/>
          </w:tcPr>
          <w:p>
            <w:pPr>
              <w:jc w:val="right"/>
              <w:ind w:right="446"/>
              <w:spacing w:after="0"/>
              <w:rPr>
                <w:sz w:val="20"/>
                <w:szCs w:val="20"/>
                <w:color w:val="auto"/>
              </w:rPr>
            </w:pPr>
            <w:r>
              <w:rPr>
                <w:rFonts w:ascii="Arial" w:cs="Arial" w:eastAsia="Arial" w:hAnsi="Arial"/>
                <w:sz w:val="11"/>
                <w:szCs w:val="11"/>
                <w:b w:val="1"/>
                <w:bCs w:val="1"/>
                <w:color w:val="auto"/>
              </w:rPr>
              <w:t>Ratio</w:t>
            </w:r>
          </w:p>
        </w:tc>
      </w:tr>
      <w:tr>
        <w:trPr>
          <w:trHeight w:val="142"/>
        </w:trPr>
        <w:tc>
          <w:tcPr>
            <w:tcW w:w="3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risk-based capital to risk-weighted assets</w:t>
            </w: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52"/>
        </w:trPr>
        <w:tc>
          <w:tcPr>
            <w:tcW w:w="3240" w:type="dxa"/>
            <w:vAlign w:val="bottom"/>
          </w:tcPr>
          <w:p>
            <w:pPr>
              <w:ind w:left="360"/>
              <w:spacing w:after="0"/>
              <w:rPr>
                <w:sz w:val="20"/>
                <w:szCs w:val="20"/>
                <w:color w:val="auto"/>
              </w:rPr>
            </w:pPr>
            <w:r>
              <w:rPr>
                <w:rFonts w:ascii="Arial" w:cs="Arial" w:eastAsia="Arial" w:hAnsi="Arial"/>
                <w:sz w:val="11"/>
                <w:szCs w:val="11"/>
                <w:color w:val="auto"/>
              </w:rPr>
              <w:t>First Merchants Corporation</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2,121,288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13.41 %</w:t>
            </w:r>
          </w:p>
        </w:tc>
        <w:tc>
          <w:tcPr>
            <w:tcW w:w="10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1,660,386</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10.50 %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780"/>
              <w:spacing w:after="0"/>
              <w:rPr>
                <w:sz w:val="20"/>
                <w:szCs w:val="20"/>
                <w:color w:val="auto"/>
              </w:rPr>
            </w:pPr>
            <w:r>
              <w:rPr>
                <w:rFonts w:ascii="Arial" w:cs="Arial" w:eastAsia="Arial" w:hAnsi="Arial"/>
                <w:sz w:val="11"/>
                <w:szCs w:val="11"/>
                <w:color w:val="auto"/>
              </w:rPr>
              <w:t>N/A</w:t>
            </w:r>
          </w:p>
        </w:tc>
        <w:tc>
          <w:tcPr>
            <w:tcW w:w="840" w:type="dxa"/>
            <w:vAlign w:val="bottom"/>
          </w:tcPr>
          <w:p>
            <w:pPr>
              <w:jc w:val="right"/>
              <w:spacing w:after="0"/>
              <w:rPr>
                <w:sz w:val="20"/>
                <w:szCs w:val="20"/>
                <w:color w:val="auto"/>
              </w:rPr>
            </w:pPr>
            <w:r>
              <w:rPr>
                <w:rFonts w:ascii="Arial" w:cs="Arial" w:eastAsia="Arial" w:hAnsi="Arial"/>
                <w:sz w:val="11"/>
                <w:szCs w:val="11"/>
                <w:color w:val="auto"/>
              </w:rPr>
              <w:t>N/A</w:t>
            </w:r>
          </w:p>
        </w:tc>
      </w:tr>
      <w:tr>
        <w:trPr>
          <w:trHeight w:val="152"/>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First Merchants Bank</w:t>
            </w: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2,074,790</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13.11</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1,661,540</w:t>
            </w: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10.50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1,582,419</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10.00 %</w:t>
            </w:r>
          </w:p>
        </w:tc>
      </w:tr>
      <w:tr>
        <w:trPr>
          <w:trHeight w:val="142"/>
        </w:trPr>
        <w:tc>
          <w:tcPr>
            <w:tcW w:w="3240" w:type="dxa"/>
            <w:vAlign w:val="bottom"/>
          </w:tcPr>
          <w:p>
            <w:pPr>
              <w:ind w:left="20"/>
              <w:spacing w:after="0"/>
              <w:rPr>
                <w:sz w:val="20"/>
                <w:szCs w:val="20"/>
                <w:color w:val="auto"/>
              </w:rPr>
            </w:pPr>
            <w:r>
              <w:rPr>
                <w:rFonts w:ascii="Arial" w:cs="Arial" w:eastAsia="Arial" w:hAnsi="Arial"/>
                <w:sz w:val="11"/>
                <w:szCs w:val="11"/>
                <w:color w:val="auto"/>
              </w:rPr>
              <w:t>Tier 1 capital to risk-weighted assets</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2"/>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First Merchants Corporation</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1,875,892</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11.86 %</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1,344,122</w:t>
            </w:r>
          </w:p>
        </w:tc>
        <w:tc>
          <w:tcPr>
            <w:tcW w:w="1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8.50 %</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1"/>
                <w:szCs w:val="11"/>
                <w:color w:val="auto"/>
              </w:rPr>
              <w:t>N/A</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N/A</w:t>
            </w:r>
          </w:p>
        </w:tc>
      </w:tr>
      <w:tr>
        <w:trPr>
          <w:trHeight w:val="142"/>
        </w:trPr>
        <w:tc>
          <w:tcPr>
            <w:tcW w:w="3240" w:type="dxa"/>
            <w:vAlign w:val="bottom"/>
          </w:tcPr>
          <w:p>
            <w:pPr>
              <w:ind w:left="360"/>
              <w:spacing w:after="0"/>
              <w:rPr>
                <w:sz w:val="20"/>
                <w:szCs w:val="20"/>
                <w:color w:val="auto"/>
              </w:rPr>
            </w:pPr>
            <w:r>
              <w:rPr>
                <w:rFonts w:ascii="Arial" w:cs="Arial" w:eastAsia="Arial" w:hAnsi="Arial"/>
                <w:sz w:val="11"/>
                <w:szCs w:val="11"/>
                <w:color w:val="auto"/>
              </w:rPr>
              <w:t>First Merchants Bank</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1,876,817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11.86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1,345,056</w:t>
            </w:r>
          </w:p>
        </w:tc>
        <w:tc>
          <w:tcPr>
            <w:tcW w:w="120" w:type="dxa"/>
            <w:vAlign w:val="bottom"/>
          </w:tcPr>
          <w:p>
            <w:pPr>
              <w:spacing w:after="0"/>
              <w:rPr>
                <w:sz w:val="12"/>
                <w:szCs w:val="12"/>
                <w:color w:val="auto"/>
              </w:rPr>
            </w:pPr>
          </w:p>
        </w:tc>
        <w:tc>
          <w:tcPr>
            <w:tcW w:w="1280" w:type="dxa"/>
            <w:vAlign w:val="bottom"/>
          </w:tcPr>
          <w:p>
            <w:pPr>
              <w:jc w:val="right"/>
              <w:ind w:right="106"/>
              <w:spacing w:after="0"/>
              <w:rPr>
                <w:sz w:val="20"/>
                <w:szCs w:val="20"/>
                <w:color w:val="auto"/>
              </w:rPr>
            </w:pPr>
            <w:r>
              <w:rPr>
                <w:rFonts w:ascii="Arial" w:cs="Arial" w:eastAsia="Arial" w:hAnsi="Arial"/>
                <w:sz w:val="11"/>
                <w:szCs w:val="11"/>
                <w:color w:val="auto"/>
              </w:rPr>
              <w:t>8.50</w:t>
            </w: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1,265,935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8.00 %</w:t>
            </w: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equity tier 1 capital to risk-weighted assets</w:t>
            </w:r>
          </w:p>
        </w:tc>
        <w:tc>
          <w:tcPr>
            <w:tcW w:w="2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r>
      <w:tr>
        <w:trPr>
          <w:trHeight w:val="152"/>
        </w:trPr>
        <w:tc>
          <w:tcPr>
            <w:tcW w:w="3240" w:type="dxa"/>
            <w:vAlign w:val="bottom"/>
          </w:tcPr>
          <w:p>
            <w:pPr>
              <w:ind w:left="360"/>
              <w:spacing w:after="0"/>
              <w:rPr>
                <w:sz w:val="20"/>
                <w:szCs w:val="20"/>
                <w:color w:val="auto"/>
              </w:rPr>
            </w:pPr>
            <w:r>
              <w:rPr>
                <w:rFonts w:ascii="Arial" w:cs="Arial" w:eastAsia="Arial" w:hAnsi="Arial"/>
                <w:sz w:val="11"/>
                <w:szCs w:val="11"/>
                <w:color w:val="auto"/>
              </w:rPr>
              <w:t>First Merchants Corporation</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1,850,892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11.70 %</w:t>
            </w:r>
          </w:p>
        </w:tc>
        <w:tc>
          <w:tcPr>
            <w:tcW w:w="10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1,106,924</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7.00 %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ind w:left="780"/>
              <w:spacing w:after="0"/>
              <w:rPr>
                <w:sz w:val="20"/>
                <w:szCs w:val="20"/>
                <w:color w:val="auto"/>
              </w:rPr>
            </w:pPr>
            <w:r>
              <w:rPr>
                <w:rFonts w:ascii="Arial" w:cs="Arial" w:eastAsia="Arial" w:hAnsi="Arial"/>
                <w:sz w:val="11"/>
                <w:szCs w:val="11"/>
                <w:color w:val="auto"/>
              </w:rPr>
              <w:t>N/A</w:t>
            </w:r>
          </w:p>
        </w:tc>
        <w:tc>
          <w:tcPr>
            <w:tcW w:w="840" w:type="dxa"/>
            <w:vAlign w:val="bottom"/>
          </w:tcPr>
          <w:p>
            <w:pPr>
              <w:jc w:val="right"/>
              <w:spacing w:after="0"/>
              <w:rPr>
                <w:sz w:val="20"/>
                <w:szCs w:val="20"/>
                <w:color w:val="auto"/>
              </w:rPr>
            </w:pPr>
            <w:r>
              <w:rPr>
                <w:rFonts w:ascii="Arial" w:cs="Arial" w:eastAsia="Arial" w:hAnsi="Arial"/>
                <w:sz w:val="11"/>
                <w:szCs w:val="11"/>
                <w:color w:val="auto"/>
              </w:rPr>
              <w:t>N/A</w:t>
            </w:r>
          </w:p>
        </w:tc>
      </w:tr>
      <w:tr>
        <w:trPr>
          <w:trHeight w:val="172"/>
        </w:trPr>
        <w:tc>
          <w:tcPr>
            <w:tcW w:w="32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First Merchants Bank</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1,876,817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11.86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1,107,693</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7.00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1,028,572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6.50 %</w:t>
            </w:r>
          </w:p>
        </w:tc>
      </w:tr>
      <w:tr>
        <w:trPr>
          <w:trHeight w:val="142"/>
        </w:trPr>
        <w:tc>
          <w:tcPr>
            <w:tcW w:w="3240" w:type="dxa"/>
            <w:vAlign w:val="bottom"/>
          </w:tcPr>
          <w:p>
            <w:pPr>
              <w:ind w:left="20"/>
              <w:spacing w:after="0"/>
              <w:rPr>
                <w:sz w:val="20"/>
                <w:szCs w:val="20"/>
                <w:color w:val="auto"/>
              </w:rPr>
            </w:pPr>
            <w:r>
              <w:rPr>
                <w:rFonts w:ascii="Arial" w:cs="Arial" w:eastAsia="Arial" w:hAnsi="Arial"/>
                <w:sz w:val="11"/>
                <w:szCs w:val="11"/>
                <w:color w:val="auto"/>
              </w:rPr>
              <w:t>Tier 1 capital to average assets</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2"/>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First Merchants Corporation</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1,875,892</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10.24 %</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732,768</w:t>
            </w:r>
          </w:p>
        </w:tc>
        <w:tc>
          <w:tcPr>
            <w:tcW w:w="1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4.00 %</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1"/>
                <w:szCs w:val="11"/>
                <w:color w:val="auto"/>
              </w:rPr>
              <w:t>N/A</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N/A</w:t>
            </w:r>
          </w:p>
        </w:tc>
      </w:tr>
      <w:tr>
        <w:trPr>
          <w:trHeight w:val="142"/>
        </w:trPr>
        <w:tc>
          <w:tcPr>
            <w:tcW w:w="3240" w:type="dxa"/>
            <w:vAlign w:val="bottom"/>
          </w:tcPr>
          <w:p>
            <w:pPr>
              <w:ind w:left="360"/>
              <w:spacing w:after="0"/>
              <w:rPr>
                <w:sz w:val="20"/>
                <w:szCs w:val="20"/>
                <w:color w:val="auto"/>
              </w:rPr>
            </w:pPr>
            <w:r>
              <w:rPr>
                <w:rFonts w:ascii="Arial" w:cs="Arial" w:eastAsia="Arial" w:hAnsi="Arial"/>
                <w:sz w:val="11"/>
                <w:szCs w:val="11"/>
                <w:color w:val="auto"/>
              </w:rPr>
              <w:t>First Merchants Bank</w:t>
            </w: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1,876,817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10.18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737,699</w:t>
            </w:r>
          </w:p>
        </w:tc>
        <w:tc>
          <w:tcPr>
            <w:tcW w:w="120" w:type="dxa"/>
            <w:vAlign w:val="bottom"/>
          </w:tcPr>
          <w:p>
            <w:pPr>
              <w:spacing w:after="0"/>
              <w:rPr>
                <w:sz w:val="12"/>
                <w:szCs w:val="12"/>
                <w:color w:val="auto"/>
              </w:rPr>
            </w:pPr>
          </w:p>
        </w:tc>
        <w:tc>
          <w:tcPr>
            <w:tcW w:w="1280" w:type="dxa"/>
            <w:vAlign w:val="bottom"/>
          </w:tcPr>
          <w:p>
            <w:pPr>
              <w:jc w:val="right"/>
              <w:ind w:right="106"/>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922,124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5.00 %</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On February 1, 2026, the Corporation assumed $29.0 million of subordinated notes in conjunction with its acquisition of First Savings.</w:t>
      </w:r>
    </w:p>
    <w:p>
      <w:pPr>
        <w:spacing w:after="0" w:line="244" w:lineRule="exact"/>
        <w:rPr>
          <w:sz w:val="20"/>
          <w:szCs w:val="20"/>
          <w:color w:val="auto"/>
        </w:rPr>
      </w:pPr>
    </w:p>
    <w:p>
      <w:pPr>
        <w:ind w:right="520"/>
        <w:spacing w:after="0" w:line="263" w:lineRule="auto"/>
        <w:rPr>
          <w:sz w:val="20"/>
          <w:szCs w:val="20"/>
          <w:color w:val="auto"/>
        </w:rPr>
      </w:pPr>
      <w:r>
        <w:rPr>
          <w:rFonts w:ascii="Arial" w:cs="Arial" w:eastAsia="Arial" w:hAnsi="Arial"/>
          <w:sz w:val="14"/>
          <w:szCs w:val="14"/>
          <w:color w:val="auto"/>
        </w:rPr>
        <w:t>On September 25, 2026, the Corporation issued $100.0 million of subordinated notes due October 1, 2036. The 2036 Notes qualify as Tier 2 capital for regulatory capital purposes and increased the Corporation's total regulatory capital. Additional information regarding the Corporation's subordinated notes is referenced in NOTE 9. BORROWINGS of the Notes to Consolidated Condensed Financial Statements of this Quarterly Report on Form 10-Q.</w:t>
      </w:r>
    </w:p>
    <w:p>
      <w:pPr>
        <w:spacing w:after="0" w:line="213"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Management believes the disclosed capital ratios are meaningful measurements for evaluating the safety and soundness of the Corporation. Traditionally, the banking regulators have assessed bank and bank holding company capital adequacy based on both the amount and the composition of capital, the calculation of which is prescribed in federal banking regulations. The Federal Reserve focuses its assessment of capital adequacy on a component of tier 1 capital known as CET1. Because the Federal Reserve has long indicated that voting common stockholders' equity (essentially tier 1 risk-based capital less preferred stock and non-controlling interest in subsidiaries) generally should be the dominant element in tier 1 risk-based capital, this focus on CET1 is consistent with existing capital adequacy categories. Tier 1 regulatory capital consists primarily of total common stockholders’ equity and subordinated debentures issued to business trusts categorized as qualifying borrowings, less non-qualifying intangible assets and unrealized net securities gains or losses.</w:t>
      </w:r>
    </w:p>
    <w:p>
      <w:pPr>
        <w:sectPr>
          <w:pgSz w:w="11900" w:h="16838" w:orient="portrait"/>
          <w:cols w:equalWidth="0" w:num="1">
            <w:col w:w="11240"/>
          </w:cols>
          <w:pgMar w:left="320" w:top="354" w:right="339" w:bottom="8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878" w:gutter="0" w:footer="0" w:header="0"/>
          <w:type w:val="continuous"/>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regulatory measures is detailed in the following table as of the dates indicated.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1066"/>
              <w:spacing w:after="0"/>
              <w:rPr>
                <w:sz w:val="20"/>
                <w:szCs w:val="20"/>
                <w:color w:val="auto"/>
              </w:rPr>
            </w:pPr>
            <w:r>
              <w:rPr>
                <w:rFonts w:ascii="Arial" w:cs="Arial" w:eastAsia="Arial" w:hAnsi="Arial"/>
                <w:sz w:val="11"/>
                <w:szCs w:val="11"/>
                <w:b w:val="1"/>
                <w:bCs w:val="1"/>
                <w:color w:val="auto"/>
              </w:rPr>
              <w:t>September 30, 2026</w:t>
            </w: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1086"/>
              <w:spacing w:after="0"/>
              <w:rPr>
                <w:sz w:val="20"/>
                <w:szCs w:val="20"/>
                <w:color w:val="auto"/>
              </w:rPr>
            </w:pPr>
            <w:r>
              <w:rPr>
                <w:rFonts w:ascii="Arial" w:cs="Arial" w:eastAsia="Arial" w:hAnsi="Arial"/>
                <w:sz w:val="11"/>
                <w:szCs w:val="11"/>
                <w:b w:val="1"/>
                <w:bCs w:val="1"/>
                <w:color w:val="auto"/>
              </w:rPr>
              <w:t>December 31, 2025</w:t>
            </w:r>
          </w:p>
        </w:tc>
      </w:tr>
      <w:tr>
        <w:trPr>
          <w:trHeight w:val="155"/>
        </w:trPr>
        <w:tc>
          <w:tcPr>
            <w:tcW w:w="458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First Merchants Corporation</w:t>
            </w:r>
          </w:p>
        </w:tc>
        <w:tc>
          <w:tcPr>
            <w:tcW w:w="140" w:type="dxa"/>
            <w:vAlign w:val="bottom"/>
          </w:tcPr>
          <w:p>
            <w:pPr>
              <w:spacing w:after="0"/>
              <w:rPr>
                <w:sz w:val="13"/>
                <w:szCs w:val="13"/>
                <w:color w:val="auto"/>
              </w:rPr>
            </w:pPr>
          </w:p>
        </w:tc>
        <w:tc>
          <w:tcPr>
            <w:tcW w:w="1540" w:type="dxa"/>
            <w:vAlign w:val="bottom"/>
            <w:gridSpan w:val="2"/>
          </w:tcPr>
          <w:p>
            <w:pPr>
              <w:ind w:left="80"/>
              <w:spacing w:after="0"/>
              <w:rPr>
                <w:sz w:val="20"/>
                <w:szCs w:val="20"/>
                <w:color w:val="auto"/>
              </w:rPr>
            </w:pPr>
            <w:r>
              <w:rPr>
                <w:rFonts w:ascii="Arial" w:cs="Arial" w:eastAsia="Arial" w:hAnsi="Arial"/>
                <w:sz w:val="11"/>
                <w:szCs w:val="11"/>
                <w:b w:val="1"/>
                <w:bCs w:val="1"/>
                <w:color w:val="auto"/>
              </w:rPr>
              <w:t>First Merchants Bank</w:t>
            </w:r>
          </w:p>
        </w:tc>
        <w:tc>
          <w:tcPr>
            <w:tcW w:w="1660" w:type="dxa"/>
            <w:vAlign w:val="bottom"/>
            <w:gridSpan w:val="3"/>
          </w:tcPr>
          <w:p>
            <w:pPr>
              <w:ind w:left="40"/>
              <w:spacing w:after="0"/>
              <w:rPr>
                <w:sz w:val="20"/>
                <w:szCs w:val="20"/>
                <w:color w:val="auto"/>
              </w:rPr>
            </w:pPr>
            <w:r>
              <w:rPr>
                <w:rFonts w:ascii="Arial" w:cs="Arial" w:eastAsia="Arial" w:hAnsi="Arial"/>
                <w:sz w:val="11"/>
                <w:szCs w:val="11"/>
                <w:b w:val="1"/>
                <w:bCs w:val="1"/>
                <w:color w:val="auto"/>
              </w:rPr>
              <w:t>First Merchants Corporation</w:t>
            </w:r>
          </w:p>
        </w:tc>
        <w:tc>
          <w:tcPr>
            <w:tcW w:w="160" w:type="dxa"/>
            <w:vAlign w:val="bottom"/>
          </w:tcPr>
          <w:p>
            <w:pPr>
              <w:spacing w:after="0"/>
              <w:rPr>
                <w:sz w:val="13"/>
                <w:szCs w:val="13"/>
                <w:color w:val="auto"/>
              </w:rPr>
            </w:pPr>
          </w:p>
        </w:tc>
        <w:tc>
          <w:tcPr>
            <w:tcW w:w="1420" w:type="dxa"/>
            <w:vAlign w:val="bottom"/>
          </w:tcPr>
          <w:p>
            <w:pPr>
              <w:jc w:val="right"/>
              <w:ind w:right="186"/>
              <w:spacing w:after="0"/>
              <w:rPr>
                <w:sz w:val="20"/>
                <w:szCs w:val="20"/>
                <w:color w:val="auto"/>
              </w:rPr>
            </w:pPr>
            <w:r>
              <w:rPr>
                <w:rFonts w:ascii="Arial" w:cs="Arial" w:eastAsia="Arial" w:hAnsi="Arial"/>
                <w:sz w:val="11"/>
                <w:szCs w:val="11"/>
                <w:b w:val="1"/>
                <w:bCs w:val="1"/>
                <w:color w:val="auto"/>
              </w:rPr>
              <w:t>First Merchants Bank</w:t>
            </w:r>
          </w:p>
        </w:tc>
      </w:tr>
      <w:tr>
        <w:trPr>
          <w:trHeight w:val="108"/>
        </w:trPr>
        <w:tc>
          <w:tcPr>
            <w:tcW w:w="4580" w:type="dxa"/>
            <w:vAlign w:val="bottom"/>
            <w:tcBorders>
              <w:top w:val="single" w:sz="8" w:color="CCEEFF"/>
            </w:tcBorders>
            <w:gridSpan w:val="3"/>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Total Risk-Based Capital</w:t>
            </w:r>
          </w:p>
        </w:tc>
        <w:tc>
          <w:tcPr>
            <w:tcW w:w="48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r>
      <w:tr>
        <w:trPr>
          <w:trHeight w:val="20"/>
        </w:trPr>
        <w:tc>
          <w:tcPr>
            <w:tcW w:w="9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r>
      <w:tr>
        <w:trPr>
          <w:trHeight w:val="142"/>
        </w:trPr>
        <w:tc>
          <w:tcPr>
            <w:tcW w:w="4580" w:type="dxa"/>
            <w:vAlign w:val="bottom"/>
            <w:gridSpan w:val="3"/>
          </w:tcPr>
          <w:p>
            <w:pPr>
              <w:spacing w:after="0"/>
              <w:rPr>
                <w:sz w:val="20"/>
                <w:szCs w:val="20"/>
                <w:color w:val="auto"/>
              </w:rPr>
            </w:pPr>
            <w:r>
              <w:rPr>
                <w:rFonts w:ascii="Arial" w:cs="Arial" w:eastAsia="Arial" w:hAnsi="Arial"/>
                <w:sz w:val="11"/>
                <w:szCs w:val="11"/>
                <w:color w:val="auto"/>
              </w:rPr>
              <w:t>Total Stockholders' Equity (GAAP)</w:t>
            </w: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2,636,381</w:t>
            </w:r>
          </w:p>
        </w:tc>
        <w:tc>
          <w:tcPr>
            <w:tcW w:w="10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106"/>
              <w:spacing w:after="0"/>
              <w:rPr>
                <w:sz w:val="20"/>
                <w:szCs w:val="20"/>
                <w:color w:val="auto"/>
              </w:rPr>
            </w:pPr>
            <w:r>
              <w:rPr>
                <w:rFonts w:ascii="Arial" w:cs="Arial" w:eastAsia="Arial" w:hAnsi="Arial"/>
                <w:sz w:val="11"/>
                <w:szCs w:val="11"/>
                <w:color w:val="auto"/>
              </w:rPr>
              <w:t>2,667,662</w:t>
            </w:r>
          </w:p>
        </w:tc>
        <w:tc>
          <w:tcPr>
            <w:tcW w:w="120" w:type="dxa"/>
            <w:vAlign w:val="bottom"/>
          </w:tcPr>
          <w:p>
            <w:pPr>
              <w:spacing w:after="0"/>
              <w:rPr>
                <w:sz w:val="12"/>
                <w:szCs w:val="12"/>
                <w:color w:val="auto"/>
              </w:rPr>
            </w:pP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2,466,667</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106"/>
              <w:spacing w:after="0"/>
              <w:rPr>
                <w:sz w:val="20"/>
                <w:szCs w:val="20"/>
                <w:color w:val="auto"/>
              </w:rPr>
            </w:pPr>
            <w:r>
              <w:rPr>
                <w:rFonts w:ascii="Arial" w:cs="Arial" w:eastAsia="Arial" w:hAnsi="Arial"/>
                <w:sz w:val="11"/>
                <w:szCs w:val="11"/>
                <w:color w:val="auto"/>
              </w:rPr>
              <w:t>2,469,036</w:t>
            </w: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 xml:space="preserve">Adjust for Accumulated Other Comprehensive Loss </w:t>
            </w:r>
            <w:r>
              <w:rPr>
                <w:rFonts w:ascii="Arial" w:cs="Arial" w:eastAsia="Arial" w:hAnsi="Arial"/>
                <w:sz w:val="7"/>
                <w:szCs w:val="7"/>
                <w:color w:val="auto"/>
              </w:rPr>
              <w:t>(1)</w:t>
            </w:r>
          </w:p>
        </w:tc>
        <w:tc>
          <w:tcPr>
            <w:tcW w:w="4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227,937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226,050</w:t>
            </w: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130,135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128,247</w:t>
            </w:r>
          </w:p>
        </w:tc>
      </w:tr>
      <w:tr>
        <w:trPr>
          <w:trHeight w:val="142"/>
        </w:trPr>
        <w:tc>
          <w:tcPr>
            <w:tcW w:w="4580" w:type="dxa"/>
            <w:vAlign w:val="bottom"/>
            <w:gridSpan w:val="3"/>
          </w:tcPr>
          <w:p>
            <w:pPr>
              <w:spacing w:after="0"/>
              <w:rPr>
                <w:sz w:val="20"/>
                <w:szCs w:val="20"/>
                <w:color w:val="auto"/>
              </w:rPr>
            </w:pPr>
            <w:r>
              <w:rPr>
                <w:rFonts w:ascii="Arial" w:cs="Arial" w:eastAsia="Arial" w:hAnsi="Arial"/>
                <w:sz w:val="11"/>
                <w:szCs w:val="11"/>
                <w:color w:val="auto"/>
              </w:rPr>
              <w:t>Less: Preferred Stock</w:t>
            </w:r>
          </w:p>
        </w:tc>
        <w:tc>
          <w:tcPr>
            <w:tcW w:w="480" w:type="dxa"/>
            <w:vAlign w:val="bottom"/>
          </w:tcPr>
          <w:p>
            <w:pPr>
              <w:spacing w:after="0"/>
              <w:rPr>
                <w:sz w:val="12"/>
                <w:szCs w:val="12"/>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(25,125)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(25,125)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(125)</w:t>
            </w: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Add: Qualifying Capital Securities</w:t>
            </w:r>
          </w:p>
        </w:tc>
        <w:tc>
          <w:tcPr>
            <w:tcW w:w="4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25,000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25,000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r>
      <w:tr>
        <w:trPr>
          <w:trHeight w:val="142"/>
        </w:trPr>
        <w:tc>
          <w:tcPr>
            <w:tcW w:w="4580" w:type="dxa"/>
            <w:vAlign w:val="bottom"/>
            <w:gridSpan w:val="3"/>
          </w:tcPr>
          <w:p>
            <w:pPr>
              <w:spacing w:after="0"/>
              <w:rPr>
                <w:sz w:val="20"/>
                <w:szCs w:val="20"/>
                <w:color w:val="auto"/>
              </w:rPr>
            </w:pPr>
            <w:r>
              <w:rPr>
                <w:rFonts w:ascii="Arial" w:cs="Arial" w:eastAsia="Arial" w:hAnsi="Arial"/>
                <w:sz w:val="11"/>
                <w:szCs w:val="11"/>
                <w:color w:val="auto"/>
              </w:rPr>
              <w:t>Less: Disallowed Goodwill and Intangible Assets</w:t>
            </w:r>
          </w:p>
        </w:tc>
        <w:tc>
          <w:tcPr>
            <w:tcW w:w="480" w:type="dxa"/>
            <w:vAlign w:val="bottom"/>
          </w:tcPr>
          <w:p>
            <w:pPr>
              <w:spacing w:after="0"/>
              <w:rPr>
                <w:sz w:val="12"/>
                <w:szCs w:val="12"/>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(815,897)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(815,358)</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(720,688)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(720,241)</w:t>
            </w: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Less: Disallowed Deferred Tax Assets</w:t>
            </w:r>
          </w:p>
        </w:tc>
        <w:tc>
          <w:tcPr>
            <w:tcW w:w="4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(3,420)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(3,596)</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w:t>
            </w:r>
          </w:p>
        </w:tc>
      </w:tr>
      <w:tr>
        <w:trPr>
          <w:trHeight w:val="148"/>
        </w:trPr>
        <w:tc>
          <w:tcPr>
            <w:tcW w:w="4580" w:type="dxa"/>
            <w:vAlign w:val="bottom"/>
            <w:gridSpan w:val="3"/>
          </w:tcPr>
          <w:p>
            <w:pPr>
              <w:ind w:left="460"/>
              <w:spacing w:after="0"/>
              <w:rPr>
                <w:sz w:val="20"/>
                <w:szCs w:val="20"/>
                <w:color w:val="auto"/>
              </w:rPr>
            </w:pPr>
            <w:r>
              <w:rPr>
                <w:rFonts w:ascii="Arial" w:cs="Arial" w:eastAsia="Arial" w:hAnsi="Arial"/>
                <w:sz w:val="11"/>
                <w:szCs w:val="11"/>
                <w:b w:val="1"/>
                <w:bCs w:val="1"/>
                <w:color w:val="auto"/>
              </w:rPr>
              <w:t>Total Tier 1 Capital (Regulatory)</w:t>
            </w:r>
          </w:p>
        </w:tc>
        <w:tc>
          <w:tcPr>
            <w:tcW w:w="4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2,044,876</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2,074,633</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1,875,892</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1,876,817</w:t>
            </w:r>
          </w:p>
        </w:tc>
      </w:tr>
      <w:tr>
        <w:trPr>
          <w:trHeight w:val="149"/>
        </w:trPr>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Qualifying Subordinated Notes and Debentures</w:t>
            </w:r>
          </w:p>
        </w:tc>
        <w:tc>
          <w:tcPr>
            <w:tcW w:w="48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174,614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47,559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r>
      <w:tr>
        <w:trPr>
          <w:trHeight w:val="155"/>
        </w:trPr>
        <w:tc>
          <w:tcPr>
            <w:tcW w:w="458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Allowance for Credit Losses Includible in Tier 2 Capital</w:t>
            </w: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225,114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225,090</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197,837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197,973</w:t>
            </w:r>
          </w:p>
        </w:tc>
      </w:tr>
      <w:tr>
        <w:trPr>
          <w:trHeight w:val="187"/>
        </w:trPr>
        <w:tc>
          <w:tcPr>
            <w:tcW w:w="45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1"/>
                <w:szCs w:val="11"/>
                <w:b w:val="1"/>
                <w:bCs w:val="1"/>
                <w:color w:val="auto"/>
              </w:rPr>
              <w:t>Total Risk-Based Capital (Regulatory)</w:t>
            </w: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2,444,604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2,299,723</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2,121,288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2,074,790</w:t>
            </w: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62"/>
        </w:trPr>
        <w:tc>
          <w:tcPr>
            <w:tcW w:w="4580" w:type="dxa"/>
            <w:vAlign w:val="bottom"/>
            <w:gridSpan w:val="3"/>
            <w:shd w:val="clear" w:color="auto" w:fill="CCEEFF"/>
          </w:tcPr>
          <w:p>
            <w:pPr>
              <w:ind w:left="460"/>
              <w:spacing w:after="0"/>
              <w:rPr>
                <w:sz w:val="20"/>
                <w:szCs w:val="20"/>
                <w:color w:val="auto"/>
              </w:rPr>
            </w:pPr>
            <w:r>
              <w:rPr>
                <w:rFonts w:ascii="Arial" w:cs="Arial" w:eastAsia="Arial" w:hAnsi="Arial"/>
                <w:sz w:val="11"/>
                <w:szCs w:val="11"/>
                <w:b w:val="1"/>
                <w:bCs w:val="1"/>
                <w:color w:val="auto"/>
              </w:rPr>
              <w:t>Net Risk-Weighted Assets (Regulatory)</w:t>
            </w:r>
          </w:p>
        </w:tc>
        <w:tc>
          <w:tcPr>
            <w:tcW w:w="4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18,005,315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18,003,372</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15,813,198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15,824,187</w:t>
            </w:r>
          </w:p>
        </w:tc>
      </w:tr>
      <w:tr>
        <w:trPr>
          <w:trHeight w:val="155"/>
        </w:trPr>
        <w:tc>
          <w:tcPr>
            <w:tcW w:w="4580" w:type="dxa"/>
            <w:vAlign w:val="bottom"/>
            <w:gridSpan w:val="3"/>
          </w:tcPr>
          <w:p>
            <w:pPr>
              <w:ind w:left="460"/>
              <w:spacing w:after="0"/>
              <w:rPr>
                <w:sz w:val="20"/>
                <w:szCs w:val="20"/>
                <w:color w:val="auto"/>
              </w:rPr>
            </w:pPr>
            <w:r>
              <w:rPr>
                <w:rFonts w:ascii="Arial" w:cs="Arial" w:eastAsia="Arial" w:hAnsi="Arial"/>
                <w:sz w:val="11"/>
                <w:szCs w:val="11"/>
                <w:b w:val="1"/>
                <w:bCs w:val="1"/>
                <w:color w:val="auto"/>
              </w:rPr>
              <w:t>Average Assets (Regulatory)</w:t>
            </w: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20,246,443</w:t>
            </w:r>
          </w:p>
        </w:tc>
        <w:tc>
          <w:tcPr>
            <w:tcW w:w="1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106"/>
              <w:spacing w:after="0"/>
              <w:rPr>
                <w:sz w:val="20"/>
                <w:szCs w:val="20"/>
                <w:color w:val="auto"/>
              </w:rPr>
            </w:pPr>
            <w:r>
              <w:rPr>
                <w:rFonts w:ascii="Arial" w:cs="Arial" w:eastAsia="Arial" w:hAnsi="Arial"/>
                <w:sz w:val="11"/>
                <w:szCs w:val="11"/>
                <w:color w:val="auto"/>
              </w:rPr>
              <w:t>20,380,152</w:t>
            </w:r>
          </w:p>
        </w:tc>
        <w:tc>
          <w:tcPr>
            <w:tcW w:w="120" w:type="dxa"/>
            <w:vAlign w:val="bottom"/>
          </w:tcPr>
          <w:p>
            <w:pPr>
              <w:spacing w:after="0"/>
              <w:rPr>
                <w:sz w:val="13"/>
                <w:szCs w:val="13"/>
                <w:color w:val="auto"/>
              </w:rPr>
            </w:pP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06"/>
              <w:spacing w:after="0"/>
              <w:rPr>
                <w:sz w:val="20"/>
                <w:szCs w:val="20"/>
                <w:color w:val="auto"/>
              </w:rPr>
            </w:pPr>
            <w:r>
              <w:rPr>
                <w:rFonts w:ascii="Arial" w:cs="Arial" w:eastAsia="Arial" w:hAnsi="Arial"/>
                <w:sz w:val="11"/>
                <w:szCs w:val="11"/>
                <w:color w:val="auto"/>
              </w:rPr>
              <w:t>18,319,204</w:t>
            </w:r>
          </w:p>
        </w:tc>
        <w:tc>
          <w:tcPr>
            <w:tcW w:w="10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106"/>
              <w:spacing w:after="0"/>
              <w:rPr>
                <w:sz w:val="20"/>
                <w:szCs w:val="20"/>
                <w:color w:val="auto"/>
              </w:rPr>
            </w:pPr>
            <w:r>
              <w:rPr>
                <w:rFonts w:ascii="Arial" w:cs="Arial" w:eastAsia="Arial" w:hAnsi="Arial"/>
                <w:sz w:val="11"/>
                <w:szCs w:val="11"/>
                <w:color w:val="auto"/>
              </w:rPr>
              <w:t>18,442,484</w:t>
            </w:r>
          </w:p>
        </w:tc>
      </w:tr>
      <w:tr>
        <w:trPr>
          <w:trHeight w:val="169"/>
        </w:trPr>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55"/>
        </w:trPr>
        <w:tc>
          <w:tcPr>
            <w:tcW w:w="4580" w:type="dxa"/>
            <w:vAlign w:val="bottom"/>
            <w:gridSpan w:val="3"/>
          </w:tcPr>
          <w:p>
            <w:pPr>
              <w:spacing w:after="0"/>
              <w:rPr>
                <w:sz w:val="20"/>
                <w:szCs w:val="20"/>
                <w:color w:val="auto"/>
              </w:rPr>
            </w:pPr>
            <w:r>
              <w:rPr>
                <w:rFonts w:ascii="Arial" w:cs="Arial" w:eastAsia="Arial" w:hAnsi="Arial"/>
                <w:sz w:val="11"/>
                <w:szCs w:val="11"/>
                <w:b w:val="1"/>
                <w:bCs w:val="1"/>
                <w:color w:val="auto"/>
              </w:rPr>
              <w:t>Total Risk-Based Capital Ratio (Regulatory)</w:t>
            </w:r>
          </w:p>
        </w:tc>
        <w:tc>
          <w:tcPr>
            <w:tcW w:w="4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13.58 %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12.77 %</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13.41 %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13.11 %</w:t>
            </w:r>
          </w:p>
        </w:tc>
      </w:tr>
      <w:tr>
        <w:trPr>
          <w:trHeight w:val="169"/>
        </w:trPr>
        <w:tc>
          <w:tcPr>
            <w:tcW w:w="45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Tier 1 Capital to Risk-Weighted Assets (Regulatory)</w:t>
            </w: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11.52 %</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11.86 %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11.86 %</w:t>
            </w:r>
          </w:p>
        </w:tc>
      </w:tr>
      <w:tr>
        <w:trPr>
          <w:trHeight w:val="155"/>
        </w:trPr>
        <w:tc>
          <w:tcPr>
            <w:tcW w:w="4580" w:type="dxa"/>
            <w:vAlign w:val="bottom"/>
            <w:gridSpan w:val="3"/>
          </w:tcPr>
          <w:p>
            <w:pPr>
              <w:spacing w:after="0"/>
              <w:rPr>
                <w:sz w:val="20"/>
                <w:szCs w:val="20"/>
                <w:color w:val="auto"/>
              </w:rPr>
            </w:pPr>
            <w:r>
              <w:rPr>
                <w:rFonts w:ascii="Arial" w:cs="Arial" w:eastAsia="Arial" w:hAnsi="Arial"/>
                <w:sz w:val="11"/>
                <w:szCs w:val="11"/>
                <w:b w:val="1"/>
                <w:bCs w:val="1"/>
                <w:color w:val="auto"/>
              </w:rPr>
              <w:t>Tier 1 Capital to Average Assets (Regulatory)</w:t>
            </w:r>
          </w:p>
        </w:tc>
        <w:tc>
          <w:tcPr>
            <w:tcW w:w="4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10.10 %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10.18 %</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10.24 %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10.18 %</w:t>
            </w:r>
          </w:p>
        </w:tc>
      </w:tr>
      <w:tr>
        <w:trPr>
          <w:trHeight w:val="169"/>
        </w:trPr>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22"/>
        </w:trPr>
        <w:tc>
          <w:tcPr>
            <w:tcW w:w="45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CET1 Capital Ratio</w:t>
            </w:r>
          </w:p>
        </w:tc>
        <w:tc>
          <w:tcPr>
            <w:tcW w:w="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2"/>
        </w:trPr>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Total Tier 1 Capital (Regulatory)</w:t>
            </w:r>
          </w:p>
        </w:tc>
        <w:tc>
          <w:tcPr>
            <w:tcW w:w="48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2,044,876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2,074,633</w:t>
            </w: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1,875,892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1,876,817</w:t>
            </w:r>
          </w:p>
        </w:tc>
      </w:tr>
      <w:tr>
        <w:trPr>
          <w:trHeight w:val="155"/>
        </w:trPr>
        <w:tc>
          <w:tcPr>
            <w:tcW w:w="4580" w:type="dxa"/>
            <w:vAlign w:val="bottom"/>
            <w:gridSpan w:val="3"/>
          </w:tcPr>
          <w:p>
            <w:pPr>
              <w:spacing w:after="0"/>
              <w:rPr>
                <w:sz w:val="20"/>
                <w:szCs w:val="20"/>
                <w:color w:val="auto"/>
              </w:rPr>
            </w:pPr>
            <w:r>
              <w:rPr>
                <w:rFonts w:ascii="Arial" w:cs="Arial" w:eastAsia="Arial" w:hAnsi="Arial"/>
                <w:sz w:val="11"/>
                <w:szCs w:val="11"/>
                <w:color w:val="auto"/>
              </w:rPr>
              <w:t>Less: Qualifying Capital Securities</w:t>
            </w:r>
          </w:p>
        </w:tc>
        <w:tc>
          <w:tcPr>
            <w:tcW w:w="480" w:type="dxa"/>
            <w:vAlign w:val="bottom"/>
          </w:tcPr>
          <w:p>
            <w:pPr>
              <w:spacing w:after="0"/>
              <w:rPr>
                <w:sz w:val="13"/>
                <w:szCs w:val="13"/>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(25,000)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(25,000)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106"/>
              <w:spacing w:after="0"/>
              <w:rPr>
                <w:sz w:val="20"/>
                <w:szCs w:val="20"/>
                <w:color w:val="auto"/>
              </w:rPr>
            </w:pPr>
            <w:r>
              <w:rPr>
                <w:rFonts w:ascii="Arial" w:cs="Arial" w:eastAsia="Arial" w:hAnsi="Arial"/>
                <w:sz w:val="11"/>
                <w:szCs w:val="11"/>
                <w:color w:val="auto"/>
              </w:rPr>
              <w:t>—</w:t>
            </w:r>
          </w:p>
        </w:tc>
      </w:tr>
      <w:tr>
        <w:trPr>
          <w:trHeight w:val="187"/>
        </w:trPr>
        <w:tc>
          <w:tcPr>
            <w:tcW w:w="458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Arial" w:cs="Arial" w:eastAsia="Arial" w:hAnsi="Arial"/>
                <w:sz w:val="11"/>
                <w:szCs w:val="11"/>
                <w:b w:val="1"/>
                <w:bCs w:val="1"/>
                <w:color w:val="auto"/>
              </w:rPr>
              <w:t>CET1 Capital (Regulatory)</w:t>
            </w:r>
          </w:p>
        </w:tc>
        <w:tc>
          <w:tcPr>
            <w:tcW w:w="48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2,019,876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4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2,074,633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5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1,850,892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1,876,817</w:t>
            </w: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62"/>
        </w:trPr>
        <w:tc>
          <w:tcPr>
            <w:tcW w:w="4580" w:type="dxa"/>
            <w:vAlign w:val="bottom"/>
            <w:gridSpan w:val="3"/>
            <w:shd w:val="clear" w:color="auto" w:fill="CCEEFF"/>
          </w:tcPr>
          <w:p>
            <w:pPr>
              <w:ind w:left="460"/>
              <w:spacing w:after="0"/>
              <w:rPr>
                <w:sz w:val="20"/>
                <w:szCs w:val="20"/>
                <w:color w:val="auto"/>
              </w:rPr>
            </w:pPr>
            <w:r>
              <w:rPr>
                <w:rFonts w:ascii="Arial" w:cs="Arial" w:eastAsia="Arial" w:hAnsi="Arial"/>
                <w:sz w:val="11"/>
                <w:szCs w:val="11"/>
                <w:b w:val="1"/>
                <w:bCs w:val="1"/>
                <w:color w:val="auto"/>
              </w:rPr>
              <w:t>Net Risk-Weighted Assets (Regulatory)</w:t>
            </w:r>
          </w:p>
        </w:tc>
        <w:tc>
          <w:tcPr>
            <w:tcW w:w="4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18,005,315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18,003,372</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15,813,198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15,824,187</w:t>
            </w:r>
          </w:p>
        </w:tc>
      </w:tr>
      <w:tr>
        <w:trPr>
          <w:trHeight w:val="148"/>
        </w:trPr>
        <w:tc>
          <w:tcPr>
            <w:tcW w:w="4580" w:type="dxa"/>
            <w:vAlign w:val="bottom"/>
            <w:gridSpan w:val="3"/>
          </w:tcPr>
          <w:p>
            <w:pPr>
              <w:spacing w:after="0"/>
              <w:rPr>
                <w:sz w:val="20"/>
                <w:szCs w:val="20"/>
                <w:color w:val="auto"/>
              </w:rPr>
            </w:pPr>
            <w:r>
              <w:rPr>
                <w:rFonts w:ascii="Arial" w:cs="Arial" w:eastAsia="Arial" w:hAnsi="Arial"/>
                <w:sz w:val="11"/>
                <w:szCs w:val="11"/>
                <w:b w:val="1"/>
                <w:bCs w:val="1"/>
                <w:color w:val="auto"/>
              </w:rPr>
              <w:t>CET1 Capital Ratio (Regulatory)</w:t>
            </w:r>
          </w:p>
        </w:tc>
        <w:tc>
          <w:tcPr>
            <w:tcW w:w="4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11.22 %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11.52 %</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11.70 %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11.86 %</w:t>
            </w:r>
          </w:p>
        </w:tc>
      </w:tr>
    </w:tbl>
    <w:p>
      <w:pPr>
        <w:spacing w:after="0" w:line="88"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3"/>
          <w:szCs w:val="13"/>
          <w:color w:val="auto"/>
          <w:vertAlign w:val="superscript"/>
        </w:rPr>
      </w:pPr>
      <w:r>
        <w:rPr>
          <w:rFonts w:ascii="Arial" w:cs="Arial" w:eastAsia="Arial" w:hAnsi="Arial"/>
          <w:sz w:val="10"/>
          <w:szCs w:val="10"/>
          <w:color w:val="auto"/>
        </w:rPr>
        <w:t>Includes net unrealized gains or losses on available for sale securities and amounts resulting from the application of the applicable accounting guidance for defined benefit and other postretirement plans.</w:t>
      </w:r>
    </w:p>
    <w:p>
      <w:pPr>
        <w:spacing w:after="0" w:line="240"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In management's view, certain non-GAAP financial measures, when taken together with the corresponding GAAP financial measures and ratios, provide meaningful supplemental information regarding our performance. We believe investors benefit from referring to these non-GAAP financial measures and ratios in assessing our operating results, related trends, and when forecasting future periods. However, these non-GAAP financial measures should be considered in addition to, and not a substitute for or preferable to, financial measures and ratios presented in accordance with GAAP.</w:t>
      </w:r>
    </w:p>
    <w:p>
      <w:pPr>
        <w:spacing w:after="0" w:line="210"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 Corporation's tangible common equity measures are capital adequacy metrics that are meaningful to the Corporation, as well as analysts and investors, in assessing the Corporation's use of equity and in facilitating period-to-period and company-to-company comparisons. Tangible common equity to tangible assets ratio was 8.83 percent at September 30, 2026, and 9.38 percent at December 31, 2025.</w:t>
      </w:r>
    </w:p>
    <w:p>
      <w:pPr>
        <w:spacing w:after="0" w:line="207"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Non-GAAP financial measures such as tangible common equity to tangible assets, tangible earnings per share, return on average tangible assets and return on average tangible equity are important measures of the strength of the Corporation's capital and ability to generate earnings on tangible common equity invested by our shareholders. These non-GAAP measures provide useful supplemental information and may assist investors in analyzing the Corporation’s financial position without regard to the effects of intangible assets and preferred stock, but retain the effect of accumulated other comprehensive losses in stockholders' equity. Disclosure of these measures also allows analysts and banking regulators to assess our capital adequacy on these same bases.</w:t>
      </w:r>
    </w:p>
    <w:p>
      <w:pPr>
        <w:spacing w:after="0" w:line="211"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auto"/>
        </w:rPr>
        <w:t>The tables within the “NON-GAAP FINANCIAL MEASURES” section of this Management’s Discussion and Analysis of Financial Condition and Results of Operations reconcile traditional GAAP measures to these non-GAAP financial measures at September 30, 2026 and December 31,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QUALITY AND PROVISION FOR CREDIT LOSSES ON LOANS</w:t>
      </w:r>
    </w:p>
    <w:p>
      <w:pPr>
        <w:spacing w:after="0" w:line="258"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The Corporation’s primary lending focus is small business and middle market commercial, commercial real estate, public finance and residential real estate, which results in portfolio diversification. Commercial loans are individually underwritten and judgmentally risk rated. They are periodically monitored and prompt corrective actions are taken on deteriorating loans. Consumer loans are typically underwritten with statistical decision-making tools and are managed throughout their life cycle on a portfolio basis.</w:t>
      </w:r>
    </w:p>
    <w:p>
      <w:pPr>
        <w:sectPr>
          <w:pgSz w:w="11900" w:h="16838" w:orient="portrait"/>
          <w:cols w:equalWidth="0" w:num="1">
            <w:col w:w="11220"/>
          </w:cols>
          <w:pgMar w:left="320" w:top="3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Maturities</w:t>
      </w:r>
    </w:p>
    <w:p>
      <w:pPr>
        <w:spacing w:after="0" w:line="258" w:lineRule="exact"/>
        <w:rPr>
          <w:sz w:val="20"/>
          <w:szCs w:val="20"/>
          <w:color w:val="auto"/>
        </w:rPr>
      </w:pPr>
    </w:p>
    <w:p>
      <w:pPr>
        <w:ind w:right="720"/>
        <w:spacing w:after="0" w:line="305" w:lineRule="auto"/>
        <w:rPr>
          <w:sz w:val="20"/>
          <w:szCs w:val="20"/>
          <w:color w:val="auto"/>
        </w:rPr>
      </w:pPr>
      <w:r>
        <w:rPr>
          <w:rFonts w:ascii="Arial" w:cs="Arial" w:eastAsia="Arial" w:hAnsi="Arial"/>
          <w:sz w:val="14"/>
          <w:szCs w:val="14"/>
          <w:color w:val="auto"/>
        </w:rPr>
        <w:t>The following tables present the maturity distribution of our loan portfolio, excluding loans held for sale, by collateral classification at September 30, 2026 according to contractual maturities of (1) one year or less, (2) after one year but within five years and (3) after five years.</w:t>
      </w:r>
    </w:p>
    <w:p>
      <w:pPr>
        <w:spacing w:after="0" w:line="171"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The tables also present the portion of loans by loan classification that have fixed interest rates or variable interest rates that fluctuate over the life of the loans in accordance with changes in an interest rate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720"/>
              <w:spacing w:after="0"/>
              <w:rPr>
                <w:sz w:val="20"/>
                <w:szCs w:val="20"/>
                <w:color w:val="auto"/>
              </w:rPr>
            </w:pPr>
            <w:r>
              <w:rPr>
                <w:rFonts w:ascii="Arial" w:cs="Arial" w:eastAsia="Arial" w:hAnsi="Arial"/>
                <w:sz w:val="11"/>
                <w:szCs w:val="11"/>
                <w:b w:val="1"/>
                <w:bCs w:val="1"/>
                <w:color w:val="auto"/>
              </w:rPr>
              <w:t>September 30, 2026</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00" w:type="dxa"/>
            <w:vAlign w:val="bottom"/>
            <w:vMerge w:val="restart"/>
          </w:tcPr>
          <w:p>
            <w:pPr>
              <w:ind w:left="20"/>
              <w:spacing w:after="0"/>
              <w:rPr>
                <w:sz w:val="20"/>
                <w:szCs w:val="20"/>
                <w:color w:val="auto"/>
              </w:rPr>
            </w:pPr>
            <w:r>
              <w:rPr>
                <w:rFonts w:ascii="Arial" w:cs="Arial" w:eastAsia="Arial" w:hAnsi="Arial"/>
                <w:sz w:val="11"/>
                <w:szCs w:val="11"/>
                <w:color w:val="auto"/>
              </w:rPr>
              <w:t>(Dollars in Thousands)</w:t>
            </w:r>
          </w:p>
        </w:tc>
        <w:tc>
          <w:tcPr>
            <w:tcW w:w="220" w:type="dxa"/>
            <w:vAlign w:val="bottom"/>
          </w:tcPr>
          <w:p>
            <w:pPr>
              <w:spacing w:after="0"/>
              <w:rPr>
                <w:sz w:val="9"/>
                <w:szCs w:val="9"/>
                <w:color w:val="auto"/>
              </w:rPr>
            </w:pPr>
          </w:p>
        </w:tc>
        <w:tc>
          <w:tcPr>
            <w:tcW w:w="1320" w:type="dxa"/>
            <w:vAlign w:val="bottom"/>
            <w:gridSpan w:val="2"/>
          </w:tcPr>
          <w:p>
            <w:pPr>
              <w:jc w:val="center"/>
              <w:ind w:right="340"/>
              <w:spacing w:after="0" w:line="109" w:lineRule="exact"/>
              <w:rPr>
                <w:sz w:val="20"/>
                <w:szCs w:val="20"/>
                <w:color w:val="auto"/>
              </w:rPr>
            </w:pPr>
            <w:r>
              <w:rPr>
                <w:rFonts w:ascii="Arial" w:cs="Arial" w:eastAsia="Arial" w:hAnsi="Arial"/>
                <w:sz w:val="11"/>
                <w:szCs w:val="11"/>
                <w:b w:val="1"/>
                <w:bCs w:val="1"/>
                <w:color w:val="auto"/>
                <w:w w:val="98"/>
              </w:rPr>
              <w:t>Maturing</w:t>
            </w:r>
          </w:p>
        </w:tc>
        <w:tc>
          <w:tcPr>
            <w:tcW w:w="260" w:type="dxa"/>
            <w:vAlign w:val="bottom"/>
          </w:tcPr>
          <w:p>
            <w:pPr>
              <w:spacing w:after="0"/>
              <w:rPr>
                <w:sz w:val="9"/>
                <w:szCs w:val="9"/>
                <w:color w:val="auto"/>
              </w:rPr>
            </w:pPr>
          </w:p>
        </w:tc>
        <w:tc>
          <w:tcPr>
            <w:tcW w:w="1260" w:type="dxa"/>
            <w:vAlign w:val="bottom"/>
            <w:gridSpan w:val="2"/>
          </w:tcPr>
          <w:p>
            <w:pPr>
              <w:ind w:left="220"/>
              <w:spacing w:after="0" w:line="109" w:lineRule="exact"/>
              <w:rPr>
                <w:sz w:val="20"/>
                <w:szCs w:val="20"/>
                <w:color w:val="auto"/>
              </w:rPr>
            </w:pPr>
            <w:r>
              <w:rPr>
                <w:rFonts w:ascii="Arial" w:cs="Arial" w:eastAsia="Arial" w:hAnsi="Arial"/>
                <w:sz w:val="11"/>
                <w:szCs w:val="11"/>
                <w:b w:val="1"/>
                <w:bCs w:val="1"/>
                <w:color w:val="auto"/>
              </w:rPr>
              <w:t>Maturing</w:t>
            </w:r>
          </w:p>
        </w:tc>
        <w:tc>
          <w:tcPr>
            <w:tcW w:w="220" w:type="dxa"/>
            <w:vAlign w:val="bottom"/>
          </w:tcPr>
          <w:p>
            <w:pPr>
              <w:spacing w:after="0"/>
              <w:rPr>
                <w:sz w:val="9"/>
                <w:szCs w:val="9"/>
                <w:color w:val="auto"/>
              </w:rPr>
            </w:pPr>
          </w:p>
        </w:tc>
        <w:tc>
          <w:tcPr>
            <w:tcW w:w="132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99"/>
              </w:rPr>
              <w:t>Maturing Over</w:t>
            </w:r>
          </w:p>
        </w:tc>
        <w:tc>
          <w:tcPr>
            <w:tcW w:w="340" w:type="dxa"/>
            <w:vAlign w:val="bottom"/>
          </w:tcPr>
          <w:p>
            <w:pPr>
              <w:spacing w:after="0"/>
              <w:rPr>
                <w:sz w:val="9"/>
                <w:szCs w:val="9"/>
                <w:color w:val="auto"/>
              </w:rPr>
            </w:pPr>
          </w:p>
        </w:tc>
        <w:tc>
          <w:tcPr>
            <w:tcW w:w="1100" w:type="dxa"/>
            <w:vAlign w:val="bottom"/>
            <w:vMerge w:val="restart"/>
          </w:tcPr>
          <w:p>
            <w:pPr>
              <w:jc w:val="right"/>
              <w:ind w:right="5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Within 1 Year</w:t>
            </w:r>
          </w:p>
        </w:tc>
        <w:tc>
          <w:tcPr>
            <w:tcW w:w="26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Arial" w:cs="Arial" w:eastAsia="Arial" w:hAnsi="Arial"/>
                <w:sz w:val="11"/>
                <w:szCs w:val="11"/>
                <w:b w:val="1"/>
                <w:bCs w:val="1"/>
                <w:color w:val="auto"/>
              </w:rPr>
              <w:t>1-5 Years</w:t>
            </w: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5 Years</w:t>
            </w: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927,390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3,062,142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589,040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4,578,572</w:t>
            </w:r>
          </w:p>
        </w:tc>
        <w:tc>
          <w:tcPr>
            <w:tcW w:w="0" w:type="dxa"/>
            <w:vAlign w:val="bottom"/>
          </w:tcPr>
          <w:p>
            <w:pPr>
              <w:spacing w:after="0"/>
              <w:rPr>
                <w:sz w:val="1"/>
                <w:szCs w:val="1"/>
                <w:color w:val="auto"/>
              </w:rPr>
            </w:pPr>
          </w:p>
        </w:tc>
      </w:tr>
      <w:tr>
        <w:trPr>
          <w:trHeight w:val="142"/>
        </w:trPr>
        <w:tc>
          <w:tcPr>
            <w:tcW w:w="5200" w:type="dxa"/>
            <w:vAlign w:val="bottom"/>
          </w:tcPr>
          <w:p>
            <w:pPr>
              <w:ind w:left="20"/>
              <w:spacing w:after="0"/>
              <w:rPr>
                <w:sz w:val="20"/>
                <w:szCs w:val="20"/>
                <w:color w:val="auto"/>
              </w:rPr>
            </w:pPr>
            <w:r>
              <w:rPr>
                <w:rFonts w:ascii="Arial" w:cs="Arial" w:eastAsia="Arial" w:hAnsi="Arial"/>
                <w:sz w:val="11"/>
                <w:szCs w:val="11"/>
                <w:color w:val="auto"/>
              </w:rPr>
              <w:t>Agricultural land, production and other loans to farmers</w:t>
            </w:r>
          </w:p>
        </w:tc>
        <w:tc>
          <w:tcPr>
            <w:tcW w:w="22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106,976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39,634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193,113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339,723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220"/>
              <w:spacing w:after="0"/>
              <w:rPr>
                <w:sz w:val="20"/>
                <w:szCs w:val="20"/>
                <w:color w:val="auto"/>
              </w:rPr>
            </w:pPr>
            <w:r>
              <w:rPr>
                <w:rFonts w:ascii="Arial" w:cs="Arial" w:eastAsia="Arial" w:hAnsi="Arial"/>
                <w:sz w:val="11"/>
                <w:szCs w:val="11"/>
                <w:color w:val="auto"/>
              </w:rPr>
              <w:t>Construction</w:t>
            </w:r>
          </w:p>
        </w:tc>
        <w:tc>
          <w:tcPr>
            <w:tcW w:w="22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284,283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464,513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210,687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959,483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Commercial real estate, non-owner occupied</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483,670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1,612,159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1,113,073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3,208,902</w:t>
            </w:r>
          </w:p>
        </w:tc>
        <w:tc>
          <w:tcPr>
            <w:tcW w:w="0" w:type="dxa"/>
            <w:vAlign w:val="bottom"/>
          </w:tcPr>
          <w:p>
            <w:pPr>
              <w:spacing w:after="0"/>
              <w:rPr>
                <w:sz w:val="1"/>
                <w:szCs w:val="1"/>
                <w:color w:val="auto"/>
              </w:rPr>
            </w:pPr>
          </w:p>
        </w:tc>
      </w:tr>
      <w:tr>
        <w:trPr>
          <w:trHeight w:val="142"/>
        </w:trPr>
        <w:tc>
          <w:tcPr>
            <w:tcW w:w="5200" w:type="dxa"/>
            <w:vAlign w:val="bottom"/>
          </w:tcPr>
          <w:p>
            <w:pPr>
              <w:ind w:left="220"/>
              <w:spacing w:after="0"/>
              <w:rPr>
                <w:sz w:val="20"/>
                <w:szCs w:val="20"/>
                <w:color w:val="auto"/>
              </w:rPr>
            </w:pPr>
            <w:r>
              <w:rPr>
                <w:rFonts w:ascii="Arial" w:cs="Arial" w:eastAsia="Arial" w:hAnsi="Arial"/>
                <w:sz w:val="11"/>
                <w:szCs w:val="11"/>
                <w:color w:val="auto"/>
              </w:rPr>
              <w:t>Commercial real estate, owner occupied</w:t>
            </w:r>
          </w:p>
        </w:tc>
        <w:tc>
          <w:tcPr>
            <w:tcW w:w="22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183,847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766,845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489,572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1,440,264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Residential</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44,233</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198,916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2,176,227</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2,419,376</w:t>
            </w:r>
          </w:p>
        </w:tc>
        <w:tc>
          <w:tcPr>
            <w:tcW w:w="0" w:type="dxa"/>
            <w:vAlign w:val="bottom"/>
          </w:tcPr>
          <w:p>
            <w:pPr>
              <w:spacing w:after="0"/>
              <w:rPr>
                <w:sz w:val="1"/>
                <w:szCs w:val="1"/>
                <w:color w:val="auto"/>
              </w:rPr>
            </w:pPr>
          </w:p>
        </w:tc>
      </w:tr>
      <w:tr>
        <w:trPr>
          <w:trHeight w:val="142"/>
        </w:trPr>
        <w:tc>
          <w:tcPr>
            <w:tcW w:w="5200" w:type="dxa"/>
            <w:vAlign w:val="bottom"/>
          </w:tcPr>
          <w:p>
            <w:pPr>
              <w:ind w:left="240"/>
              <w:spacing w:after="0"/>
              <w:rPr>
                <w:sz w:val="20"/>
                <w:szCs w:val="20"/>
                <w:color w:val="auto"/>
              </w:rPr>
            </w:pPr>
            <w:r>
              <w:rPr>
                <w:rFonts w:ascii="Arial" w:cs="Arial" w:eastAsia="Arial" w:hAnsi="Arial"/>
                <w:sz w:val="11"/>
                <w:szCs w:val="11"/>
                <w:color w:val="auto"/>
              </w:rPr>
              <w:t>Home equity</w:t>
            </w:r>
          </w:p>
        </w:tc>
        <w:tc>
          <w:tcPr>
            <w:tcW w:w="22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21,805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18,525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1,098,710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1,139,040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27,972</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99,210</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30,757</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157,939</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Public finance and other commercial loans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101,316</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296,483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959,876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1,357,675</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2,181,492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6,558,427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6,861,055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15,600,974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720"/>
              <w:spacing w:after="0"/>
              <w:rPr>
                <w:sz w:val="20"/>
                <w:szCs w:val="20"/>
                <w:color w:val="auto"/>
              </w:rPr>
            </w:pPr>
            <w:r>
              <w:rPr>
                <w:rFonts w:ascii="Arial" w:cs="Arial" w:eastAsia="Arial" w:hAnsi="Arial"/>
                <w:sz w:val="11"/>
                <w:szCs w:val="11"/>
                <w:b w:val="1"/>
                <w:bCs w:val="1"/>
                <w:color w:val="auto"/>
              </w:rPr>
              <w:t>September 30, 2026</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00" w:type="dxa"/>
            <w:vAlign w:val="bottom"/>
            <w:vMerge w:val="restart"/>
          </w:tcPr>
          <w:p>
            <w:pPr>
              <w:ind w:left="20"/>
              <w:spacing w:after="0"/>
              <w:rPr>
                <w:sz w:val="20"/>
                <w:szCs w:val="20"/>
                <w:color w:val="auto"/>
              </w:rPr>
            </w:pPr>
            <w:r>
              <w:rPr>
                <w:rFonts w:ascii="Arial" w:cs="Arial" w:eastAsia="Arial" w:hAnsi="Arial"/>
                <w:sz w:val="11"/>
                <w:szCs w:val="11"/>
                <w:color w:val="auto"/>
              </w:rPr>
              <w:t>(Dollars in Thousands)</w:t>
            </w:r>
          </w:p>
        </w:tc>
        <w:tc>
          <w:tcPr>
            <w:tcW w:w="220" w:type="dxa"/>
            <w:vAlign w:val="bottom"/>
          </w:tcPr>
          <w:p>
            <w:pPr>
              <w:spacing w:after="0"/>
              <w:rPr>
                <w:sz w:val="9"/>
                <w:szCs w:val="9"/>
                <w:color w:val="auto"/>
              </w:rPr>
            </w:pPr>
          </w:p>
        </w:tc>
        <w:tc>
          <w:tcPr>
            <w:tcW w:w="1320" w:type="dxa"/>
            <w:vAlign w:val="bottom"/>
            <w:gridSpan w:val="2"/>
          </w:tcPr>
          <w:p>
            <w:pPr>
              <w:jc w:val="center"/>
              <w:ind w:right="340"/>
              <w:spacing w:after="0" w:line="109" w:lineRule="exact"/>
              <w:rPr>
                <w:sz w:val="20"/>
                <w:szCs w:val="20"/>
                <w:color w:val="auto"/>
              </w:rPr>
            </w:pPr>
            <w:r>
              <w:rPr>
                <w:rFonts w:ascii="Arial" w:cs="Arial" w:eastAsia="Arial" w:hAnsi="Arial"/>
                <w:sz w:val="11"/>
                <w:szCs w:val="11"/>
                <w:b w:val="1"/>
                <w:bCs w:val="1"/>
                <w:color w:val="auto"/>
                <w:w w:val="98"/>
              </w:rPr>
              <w:t>Maturing</w:t>
            </w:r>
          </w:p>
        </w:tc>
        <w:tc>
          <w:tcPr>
            <w:tcW w:w="260" w:type="dxa"/>
            <w:vAlign w:val="bottom"/>
          </w:tcPr>
          <w:p>
            <w:pPr>
              <w:spacing w:after="0"/>
              <w:rPr>
                <w:sz w:val="9"/>
                <w:szCs w:val="9"/>
                <w:color w:val="auto"/>
              </w:rPr>
            </w:pPr>
          </w:p>
        </w:tc>
        <w:tc>
          <w:tcPr>
            <w:tcW w:w="1260" w:type="dxa"/>
            <w:vAlign w:val="bottom"/>
            <w:gridSpan w:val="2"/>
          </w:tcPr>
          <w:p>
            <w:pPr>
              <w:ind w:left="220"/>
              <w:spacing w:after="0" w:line="109" w:lineRule="exact"/>
              <w:rPr>
                <w:sz w:val="20"/>
                <w:szCs w:val="20"/>
                <w:color w:val="auto"/>
              </w:rPr>
            </w:pPr>
            <w:r>
              <w:rPr>
                <w:rFonts w:ascii="Arial" w:cs="Arial" w:eastAsia="Arial" w:hAnsi="Arial"/>
                <w:sz w:val="11"/>
                <w:szCs w:val="11"/>
                <w:b w:val="1"/>
                <w:bCs w:val="1"/>
                <w:color w:val="auto"/>
              </w:rPr>
              <w:t>Maturing</w:t>
            </w:r>
          </w:p>
        </w:tc>
        <w:tc>
          <w:tcPr>
            <w:tcW w:w="220" w:type="dxa"/>
            <w:vAlign w:val="bottom"/>
          </w:tcPr>
          <w:p>
            <w:pPr>
              <w:spacing w:after="0"/>
              <w:rPr>
                <w:sz w:val="9"/>
                <w:szCs w:val="9"/>
                <w:color w:val="auto"/>
              </w:rPr>
            </w:pPr>
          </w:p>
        </w:tc>
        <w:tc>
          <w:tcPr>
            <w:tcW w:w="132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99"/>
              </w:rPr>
              <w:t>Maturing Over</w:t>
            </w:r>
          </w:p>
        </w:tc>
        <w:tc>
          <w:tcPr>
            <w:tcW w:w="340" w:type="dxa"/>
            <w:vAlign w:val="bottom"/>
          </w:tcPr>
          <w:p>
            <w:pPr>
              <w:spacing w:after="0"/>
              <w:rPr>
                <w:sz w:val="9"/>
                <w:szCs w:val="9"/>
                <w:color w:val="auto"/>
              </w:rPr>
            </w:pPr>
          </w:p>
        </w:tc>
        <w:tc>
          <w:tcPr>
            <w:tcW w:w="1100" w:type="dxa"/>
            <w:vAlign w:val="bottom"/>
            <w:vMerge w:val="restart"/>
          </w:tcPr>
          <w:p>
            <w:pPr>
              <w:jc w:val="right"/>
              <w:ind w:right="5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Within 1 Year</w:t>
            </w:r>
          </w:p>
        </w:tc>
        <w:tc>
          <w:tcPr>
            <w:tcW w:w="26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Arial" w:cs="Arial" w:eastAsia="Arial" w:hAnsi="Arial"/>
                <w:sz w:val="11"/>
                <w:szCs w:val="11"/>
                <w:b w:val="1"/>
                <w:bCs w:val="1"/>
                <w:color w:val="auto"/>
              </w:rPr>
              <w:t>1-5 Years</w:t>
            </w: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5 Years</w:t>
            </w: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44,942</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398,950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163,148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607,040</w:t>
            </w:r>
          </w:p>
        </w:tc>
        <w:tc>
          <w:tcPr>
            <w:tcW w:w="0" w:type="dxa"/>
            <w:vAlign w:val="bottom"/>
          </w:tcPr>
          <w:p>
            <w:pPr>
              <w:spacing w:after="0"/>
              <w:rPr>
                <w:sz w:val="1"/>
                <w:szCs w:val="1"/>
                <w:color w:val="auto"/>
              </w:rPr>
            </w:pPr>
          </w:p>
        </w:tc>
      </w:tr>
      <w:tr>
        <w:trPr>
          <w:trHeight w:val="152"/>
        </w:trPr>
        <w:tc>
          <w:tcPr>
            <w:tcW w:w="5200" w:type="dxa"/>
            <w:vAlign w:val="bottom"/>
          </w:tcPr>
          <w:p>
            <w:pPr>
              <w:ind w:left="20"/>
              <w:spacing w:after="0"/>
              <w:rPr>
                <w:sz w:val="20"/>
                <w:szCs w:val="20"/>
                <w:color w:val="auto"/>
              </w:rPr>
            </w:pPr>
            <w:r>
              <w:rPr>
                <w:rFonts w:ascii="Arial" w:cs="Arial" w:eastAsia="Arial" w:hAnsi="Arial"/>
                <w:sz w:val="11"/>
                <w:szCs w:val="11"/>
                <w:color w:val="auto"/>
              </w:rPr>
              <w:t>Agricultural land, production and other loans to farmers</w:t>
            </w:r>
          </w:p>
        </w:tc>
        <w:tc>
          <w:tcPr>
            <w:tcW w:w="22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3,844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23,420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8,915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36,179</w:t>
            </w:r>
          </w:p>
        </w:tc>
        <w:tc>
          <w:tcPr>
            <w:tcW w:w="0" w:type="dxa"/>
            <w:vAlign w:val="bottom"/>
          </w:tcPr>
          <w:p>
            <w:pPr>
              <w:spacing w:after="0"/>
              <w:rPr>
                <w:sz w:val="1"/>
                <w:szCs w:val="1"/>
                <w:color w:val="auto"/>
              </w:rPr>
            </w:pPr>
          </w:p>
        </w:tc>
      </w:tr>
      <w:tr>
        <w:trPr>
          <w:trHeight w:val="15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2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220"/>
              <w:spacing w:after="0"/>
              <w:rPr>
                <w:sz w:val="20"/>
                <w:szCs w:val="20"/>
                <w:color w:val="auto"/>
              </w:rPr>
            </w:pPr>
            <w:r>
              <w:rPr>
                <w:rFonts w:ascii="Arial" w:cs="Arial" w:eastAsia="Arial" w:hAnsi="Arial"/>
                <w:sz w:val="11"/>
                <w:szCs w:val="11"/>
                <w:color w:val="auto"/>
              </w:rPr>
              <w:t>Construction</w:t>
            </w:r>
          </w:p>
        </w:tc>
        <w:tc>
          <w:tcPr>
            <w:tcW w:w="22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451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20,474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161,415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182,340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Commercial real estate, non-owner occupied</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162,278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608,523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415,910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1,186,711</w:t>
            </w:r>
          </w:p>
        </w:tc>
        <w:tc>
          <w:tcPr>
            <w:tcW w:w="0" w:type="dxa"/>
            <w:vAlign w:val="bottom"/>
          </w:tcPr>
          <w:p>
            <w:pPr>
              <w:spacing w:after="0"/>
              <w:rPr>
                <w:sz w:val="1"/>
                <w:szCs w:val="1"/>
                <w:color w:val="auto"/>
              </w:rPr>
            </w:pPr>
          </w:p>
        </w:tc>
      </w:tr>
      <w:tr>
        <w:trPr>
          <w:trHeight w:val="152"/>
        </w:trPr>
        <w:tc>
          <w:tcPr>
            <w:tcW w:w="5200" w:type="dxa"/>
            <w:vAlign w:val="bottom"/>
          </w:tcPr>
          <w:p>
            <w:pPr>
              <w:ind w:left="220"/>
              <w:spacing w:after="0"/>
              <w:rPr>
                <w:sz w:val="20"/>
                <w:szCs w:val="20"/>
                <w:color w:val="auto"/>
              </w:rPr>
            </w:pPr>
            <w:r>
              <w:rPr>
                <w:rFonts w:ascii="Arial" w:cs="Arial" w:eastAsia="Arial" w:hAnsi="Arial"/>
                <w:sz w:val="11"/>
                <w:szCs w:val="11"/>
                <w:color w:val="auto"/>
              </w:rPr>
              <w:t>Commercial real estate, owner occupied</w:t>
            </w:r>
          </w:p>
        </w:tc>
        <w:tc>
          <w:tcPr>
            <w:tcW w:w="22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97,106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306,984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76,864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480,954</w:t>
            </w:r>
          </w:p>
        </w:tc>
        <w:tc>
          <w:tcPr>
            <w:tcW w:w="0" w:type="dxa"/>
            <w:vAlign w:val="bottom"/>
          </w:tcPr>
          <w:p>
            <w:pPr>
              <w:spacing w:after="0"/>
              <w:rPr>
                <w:sz w:val="1"/>
                <w:szCs w:val="1"/>
                <w:color w:val="auto"/>
              </w:rPr>
            </w:pPr>
          </w:p>
        </w:tc>
      </w:tr>
      <w:tr>
        <w:trPr>
          <w:trHeight w:val="152"/>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Residential</w:t>
            </w:r>
          </w:p>
        </w:tc>
        <w:tc>
          <w:tcPr>
            <w:tcW w:w="2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30,600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106,061</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918,163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1,054,824</w:t>
            </w:r>
          </w:p>
        </w:tc>
        <w:tc>
          <w:tcPr>
            <w:tcW w:w="0" w:type="dxa"/>
            <w:vAlign w:val="bottom"/>
          </w:tcPr>
          <w:p>
            <w:pPr>
              <w:spacing w:after="0"/>
              <w:rPr>
                <w:sz w:val="1"/>
                <w:szCs w:val="1"/>
                <w:color w:val="auto"/>
              </w:rPr>
            </w:pPr>
          </w:p>
        </w:tc>
      </w:tr>
      <w:tr>
        <w:trPr>
          <w:trHeight w:val="142"/>
        </w:trPr>
        <w:tc>
          <w:tcPr>
            <w:tcW w:w="5200" w:type="dxa"/>
            <w:vAlign w:val="bottom"/>
          </w:tcPr>
          <w:p>
            <w:pPr>
              <w:ind w:left="240"/>
              <w:spacing w:after="0"/>
              <w:rPr>
                <w:sz w:val="20"/>
                <w:szCs w:val="20"/>
                <w:color w:val="auto"/>
              </w:rPr>
            </w:pPr>
            <w:r>
              <w:rPr>
                <w:rFonts w:ascii="Arial" w:cs="Arial" w:eastAsia="Arial" w:hAnsi="Arial"/>
                <w:sz w:val="11"/>
                <w:szCs w:val="11"/>
                <w:color w:val="auto"/>
              </w:rPr>
              <w:t>Home equity</w:t>
            </w:r>
          </w:p>
        </w:tc>
        <w:tc>
          <w:tcPr>
            <w:tcW w:w="22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9,780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4,941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14,923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29,644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3,679</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60,028</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19,475</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83,182</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Public finance and other commercial loans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5,590</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101,935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934,582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1,042,107</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 loans with fixed interest rates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358,270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1,631,316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2,713,395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4,702,981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720"/>
              <w:spacing w:after="0"/>
              <w:rPr>
                <w:sz w:val="20"/>
                <w:szCs w:val="20"/>
                <w:color w:val="auto"/>
              </w:rPr>
            </w:pPr>
            <w:r>
              <w:rPr>
                <w:rFonts w:ascii="Arial" w:cs="Arial" w:eastAsia="Arial" w:hAnsi="Arial"/>
                <w:sz w:val="11"/>
                <w:szCs w:val="11"/>
                <w:b w:val="1"/>
                <w:bCs w:val="1"/>
                <w:color w:val="auto"/>
              </w:rPr>
              <w:t>September 30, 2026</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00" w:type="dxa"/>
            <w:vAlign w:val="bottom"/>
            <w:vMerge w:val="restart"/>
          </w:tcPr>
          <w:p>
            <w:pPr>
              <w:ind w:left="20"/>
              <w:spacing w:after="0"/>
              <w:rPr>
                <w:sz w:val="20"/>
                <w:szCs w:val="20"/>
                <w:color w:val="auto"/>
              </w:rPr>
            </w:pPr>
            <w:r>
              <w:rPr>
                <w:rFonts w:ascii="Arial" w:cs="Arial" w:eastAsia="Arial" w:hAnsi="Arial"/>
                <w:sz w:val="11"/>
                <w:szCs w:val="11"/>
                <w:color w:val="auto"/>
              </w:rPr>
              <w:t>(Dollars in Thousands)</w:t>
            </w:r>
          </w:p>
        </w:tc>
        <w:tc>
          <w:tcPr>
            <w:tcW w:w="220" w:type="dxa"/>
            <w:vAlign w:val="bottom"/>
          </w:tcPr>
          <w:p>
            <w:pPr>
              <w:spacing w:after="0"/>
              <w:rPr>
                <w:sz w:val="9"/>
                <w:szCs w:val="9"/>
                <w:color w:val="auto"/>
              </w:rPr>
            </w:pPr>
          </w:p>
        </w:tc>
        <w:tc>
          <w:tcPr>
            <w:tcW w:w="1320" w:type="dxa"/>
            <w:vAlign w:val="bottom"/>
            <w:gridSpan w:val="2"/>
          </w:tcPr>
          <w:p>
            <w:pPr>
              <w:jc w:val="center"/>
              <w:ind w:right="340"/>
              <w:spacing w:after="0" w:line="109" w:lineRule="exact"/>
              <w:rPr>
                <w:sz w:val="20"/>
                <w:szCs w:val="20"/>
                <w:color w:val="auto"/>
              </w:rPr>
            </w:pPr>
            <w:r>
              <w:rPr>
                <w:rFonts w:ascii="Arial" w:cs="Arial" w:eastAsia="Arial" w:hAnsi="Arial"/>
                <w:sz w:val="11"/>
                <w:szCs w:val="11"/>
                <w:b w:val="1"/>
                <w:bCs w:val="1"/>
                <w:color w:val="auto"/>
                <w:w w:val="98"/>
              </w:rPr>
              <w:t>Maturing</w:t>
            </w:r>
          </w:p>
        </w:tc>
        <w:tc>
          <w:tcPr>
            <w:tcW w:w="260" w:type="dxa"/>
            <w:vAlign w:val="bottom"/>
          </w:tcPr>
          <w:p>
            <w:pPr>
              <w:spacing w:after="0"/>
              <w:rPr>
                <w:sz w:val="9"/>
                <w:szCs w:val="9"/>
                <w:color w:val="auto"/>
              </w:rPr>
            </w:pPr>
          </w:p>
        </w:tc>
        <w:tc>
          <w:tcPr>
            <w:tcW w:w="1260" w:type="dxa"/>
            <w:vAlign w:val="bottom"/>
            <w:gridSpan w:val="2"/>
          </w:tcPr>
          <w:p>
            <w:pPr>
              <w:ind w:left="220"/>
              <w:spacing w:after="0" w:line="109" w:lineRule="exact"/>
              <w:rPr>
                <w:sz w:val="20"/>
                <w:szCs w:val="20"/>
                <w:color w:val="auto"/>
              </w:rPr>
            </w:pPr>
            <w:r>
              <w:rPr>
                <w:rFonts w:ascii="Arial" w:cs="Arial" w:eastAsia="Arial" w:hAnsi="Arial"/>
                <w:sz w:val="11"/>
                <w:szCs w:val="11"/>
                <w:b w:val="1"/>
                <w:bCs w:val="1"/>
                <w:color w:val="auto"/>
              </w:rPr>
              <w:t>Maturing</w:t>
            </w:r>
          </w:p>
        </w:tc>
        <w:tc>
          <w:tcPr>
            <w:tcW w:w="220" w:type="dxa"/>
            <w:vAlign w:val="bottom"/>
          </w:tcPr>
          <w:p>
            <w:pPr>
              <w:spacing w:after="0"/>
              <w:rPr>
                <w:sz w:val="9"/>
                <w:szCs w:val="9"/>
                <w:color w:val="auto"/>
              </w:rPr>
            </w:pPr>
          </w:p>
        </w:tc>
        <w:tc>
          <w:tcPr>
            <w:tcW w:w="132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99"/>
              </w:rPr>
              <w:t>Maturing Over</w:t>
            </w:r>
          </w:p>
        </w:tc>
        <w:tc>
          <w:tcPr>
            <w:tcW w:w="340" w:type="dxa"/>
            <w:vAlign w:val="bottom"/>
          </w:tcPr>
          <w:p>
            <w:pPr>
              <w:spacing w:after="0"/>
              <w:rPr>
                <w:sz w:val="9"/>
                <w:szCs w:val="9"/>
                <w:color w:val="auto"/>
              </w:rPr>
            </w:pPr>
          </w:p>
        </w:tc>
        <w:tc>
          <w:tcPr>
            <w:tcW w:w="1100" w:type="dxa"/>
            <w:vAlign w:val="bottom"/>
            <w:vMerge w:val="restart"/>
          </w:tcPr>
          <w:p>
            <w:pPr>
              <w:jc w:val="right"/>
              <w:ind w:right="5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Within 1 Year</w:t>
            </w:r>
          </w:p>
        </w:tc>
        <w:tc>
          <w:tcPr>
            <w:tcW w:w="26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Arial" w:cs="Arial" w:eastAsia="Arial" w:hAnsi="Arial"/>
                <w:sz w:val="11"/>
                <w:szCs w:val="11"/>
                <w:b w:val="1"/>
                <w:bCs w:val="1"/>
                <w:color w:val="auto"/>
              </w:rPr>
              <w:t>1-5 Years</w:t>
            </w: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5 Years</w:t>
            </w:r>
          </w:p>
        </w:tc>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Commercial and industrial loans</w:t>
            </w: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882,448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2,663,192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425,892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3,971,532</w:t>
            </w:r>
          </w:p>
        </w:tc>
        <w:tc>
          <w:tcPr>
            <w:tcW w:w="0" w:type="dxa"/>
            <w:vAlign w:val="bottom"/>
          </w:tcPr>
          <w:p>
            <w:pPr>
              <w:spacing w:after="0"/>
              <w:rPr>
                <w:sz w:val="1"/>
                <w:szCs w:val="1"/>
                <w:color w:val="auto"/>
              </w:rPr>
            </w:pPr>
          </w:p>
        </w:tc>
      </w:tr>
      <w:tr>
        <w:trPr>
          <w:trHeight w:val="152"/>
        </w:trPr>
        <w:tc>
          <w:tcPr>
            <w:tcW w:w="5200" w:type="dxa"/>
            <w:vAlign w:val="bottom"/>
          </w:tcPr>
          <w:p>
            <w:pPr>
              <w:ind w:left="20"/>
              <w:spacing w:after="0"/>
              <w:rPr>
                <w:sz w:val="20"/>
                <w:szCs w:val="20"/>
                <w:color w:val="auto"/>
              </w:rPr>
            </w:pPr>
            <w:r>
              <w:rPr>
                <w:rFonts w:ascii="Arial" w:cs="Arial" w:eastAsia="Arial" w:hAnsi="Arial"/>
                <w:sz w:val="11"/>
                <w:szCs w:val="11"/>
                <w:color w:val="auto"/>
              </w:rPr>
              <w:t>Agricultural land, production and other loans to farmers</w:t>
            </w:r>
          </w:p>
        </w:tc>
        <w:tc>
          <w:tcPr>
            <w:tcW w:w="22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103,132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16,214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184,198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303,544</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 estate loans: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ind w:left="220"/>
              <w:spacing w:after="0"/>
              <w:rPr>
                <w:sz w:val="20"/>
                <w:szCs w:val="20"/>
                <w:color w:val="auto"/>
              </w:rPr>
            </w:pPr>
            <w:r>
              <w:rPr>
                <w:rFonts w:ascii="Arial" w:cs="Arial" w:eastAsia="Arial" w:hAnsi="Arial"/>
                <w:sz w:val="11"/>
                <w:szCs w:val="11"/>
                <w:color w:val="auto"/>
              </w:rPr>
              <w:t>Construction</w:t>
            </w:r>
          </w:p>
        </w:tc>
        <w:tc>
          <w:tcPr>
            <w:tcW w:w="22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283,832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444,039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49,272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777,143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Commercial real estate, non-owner occupied</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321,392</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1,003,636</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697,163</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2,022,191</w:t>
            </w:r>
          </w:p>
        </w:tc>
        <w:tc>
          <w:tcPr>
            <w:tcW w:w="0" w:type="dxa"/>
            <w:vAlign w:val="bottom"/>
          </w:tcPr>
          <w:p>
            <w:pPr>
              <w:spacing w:after="0"/>
              <w:rPr>
                <w:sz w:val="1"/>
                <w:szCs w:val="1"/>
                <w:color w:val="auto"/>
              </w:rPr>
            </w:pPr>
          </w:p>
        </w:tc>
      </w:tr>
      <w:tr>
        <w:trPr>
          <w:trHeight w:val="152"/>
        </w:trPr>
        <w:tc>
          <w:tcPr>
            <w:tcW w:w="5200" w:type="dxa"/>
            <w:vAlign w:val="bottom"/>
          </w:tcPr>
          <w:p>
            <w:pPr>
              <w:ind w:left="220"/>
              <w:spacing w:after="0"/>
              <w:rPr>
                <w:sz w:val="20"/>
                <w:szCs w:val="20"/>
                <w:color w:val="auto"/>
              </w:rPr>
            </w:pPr>
            <w:r>
              <w:rPr>
                <w:rFonts w:ascii="Arial" w:cs="Arial" w:eastAsia="Arial" w:hAnsi="Arial"/>
                <w:sz w:val="11"/>
                <w:szCs w:val="11"/>
                <w:color w:val="auto"/>
              </w:rPr>
              <w:t>Commercial real estate, owner occupied</w:t>
            </w:r>
          </w:p>
        </w:tc>
        <w:tc>
          <w:tcPr>
            <w:tcW w:w="220" w:type="dxa"/>
            <w:vAlign w:val="bottom"/>
          </w:tcPr>
          <w:p>
            <w:pPr>
              <w:spacing w:after="0"/>
              <w:rPr>
                <w:sz w:val="13"/>
                <w:szCs w:val="13"/>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86,741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459,861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412,708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959,310</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13,633</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92,855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1,258,064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1,364,552</w:t>
            </w:r>
          </w:p>
        </w:tc>
        <w:tc>
          <w:tcPr>
            <w:tcW w:w="0" w:type="dxa"/>
            <w:vAlign w:val="bottom"/>
          </w:tcPr>
          <w:p>
            <w:pPr>
              <w:spacing w:after="0"/>
              <w:rPr>
                <w:sz w:val="1"/>
                <w:szCs w:val="1"/>
                <w:color w:val="auto"/>
              </w:rPr>
            </w:pPr>
          </w:p>
        </w:tc>
      </w:tr>
      <w:tr>
        <w:trPr>
          <w:trHeight w:val="142"/>
        </w:trPr>
        <w:tc>
          <w:tcPr>
            <w:tcW w:w="5200" w:type="dxa"/>
            <w:vAlign w:val="bottom"/>
          </w:tcPr>
          <w:p>
            <w:pPr>
              <w:ind w:left="240"/>
              <w:spacing w:after="0"/>
              <w:rPr>
                <w:sz w:val="20"/>
                <w:szCs w:val="20"/>
                <w:color w:val="auto"/>
              </w:rPr>
            </w:pPr>
            <w:r>
              <w:rPr>
                <w:rFonts w:ascii="Arial" w:cs="Arial" w:eastAsia="Arial" w:hAnsi="Arial"/>
                <w:sz w:val="11"/>
                <w:szCs w:val="11"/>
                <w:color w:val="auto"/>
              </w:rPr>
              <w:t>Home equity</w:t>
            </w:r>
          </w:p>
        </w:tc>
        <w:tc>
          <w:tcPr>
            <w:tcW w:w="220" w:type="dxa"/>
            <w:vAlign w:val="bottom"/>
          </w:tcPr>
          <w:p>
            <w:pPr>
              <w:spacing w:after="0"/>
              <w:rPr>
                <w:sz w:val="12"/>
                <w:szCs w:val="12"/>
                <w:color w:val="auto"/>
              </w:rPr>
            </w:pP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12,025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13,584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ind w:right="6"/>
              <w:spacing w:after="0"/>
              <w:rPr>
                <w:sz w:val="20"/>
                <w:szCs w:val="20"/>
                <w:color w:val="auto"/>
              </w:rPr>
            </w:pPr>
            <w:r>
              <w:rPr>
                <w:rFonts w:ascii="Arial" w:cs="Arial" w:eastAsia="Arial" w:hAnsi="Arial"/>
                <w:sz w:val="11"/>
                <w:szCs w:val="11"/>
                <w:color w:val="auto"/>
              </w:rPr>
              <w:t>1,083,787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1,109,396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Individuals' loans for household and other personal expenditures</w:t>
            </w: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24,293</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39,182</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11,282</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74,757</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Public finance and other commercial loans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95,726</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194,548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25,294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315,568</w:t>
            </w:r>
          </w:p>
        </w:tc>
        <w:tc>
          <w:tcPr>
            <w:tcW w:w="0" w:type="dxa"/>
            <w:vAlign w:val="bottom"/>
          </w:tcPr>
          <w:p>
            <w:pPr>
              <w:spacing w:after="0"/>
              <w:rPr>
                <w:sz w:val="1"/>
                <w:szCs w:val="1"/>
                <w:color w:val="auto"/>
              </w:rPr>
            </w:pPr>
          </w:p>
        </w:tc>
      </w:tr>
      <w:tr>
        <w:trPr>
          <w:trHeight w:val="187"/>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1"/>
                <w:szCs w:val="11"/>
                <w:color w:val="auto"/>
              </w:rPr>
              <w:t>Total loans with variable interest rates</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1,823,222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4,927,111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4,147,660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10,897,993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Quality</w:t>
      </w:r>
    </w:p>
    <w:p>
      <w:pPr>
        <w:spacing w:after="0" w:line="258"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quality of the loan portfolio and the amount of nonperforming loans may increase or decrease as a result of acquisitions, organic portfolio growth, problem loan recognition and resolution through collections, sales or charge-offs. The performance of any loan can be affected by external factors such as economic conditions, or internal factors specific to a particular borrower, such as the actions of a customer's internal management.</w:t>
      </w:r>
    </w:p>
    <w:p>
      <w:pPr>
        <w:spacing w:after="0" w:line="207"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At September 30, 2026, nonaccrual loans totaled $117.4 million, an increase of $45.6 million from December 31, 2025. The increase was primarily driven by increases of $34.2 million in the commercial and industrial loan class, including three loans totaling $29.7 million, and $8.8 million in the commercial real estate, non-owner occupied loan class, including one relationship totaling $8.7 million. Increases of $7.3 million in commercial real estate, owner occupied and $5.4 million in residential loan classes also contributed to the increase, partially offset by a $12.8 million decrease in the construction loan class primarily attributable to one relationship.</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At September 30, 2026, loans 90 days or more delinquent and still accruing totaled $12.7 million, an increase of $10.6 million from December 31, 2025, as the commercial and industrial, and construction loan classes increased $7.7 million and $2.3 million, respectively. The increase in commercial and industrial loans was primarily driven by a $7.2 million loan that was 90 days or more delinquent and still accruing at quarter-end but was renewed in October 2026 and was current as of the date of this filing.</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Corporation's nonperforming assets plus accruing loans 90 days or more delinquent are presented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8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16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 2026</w:t>
            </w:r>
          </w:p>
        </w:tc>
        <w:tc>
          <w:tcPr>
            <w:tcW w:w="180" w:type="dxa"/>
            <w:vAlign w:val="bottom"/>
          </w:tcPr>
          <w:p>
            <w:pPr>
              <w:spacing w:after="0"/>
              <w:rPr>
                <w:sz w:val="13"/>
                <w:szCs w:val="13"/>
                <w:color w:val="auto"/>
              </w:rPr>
            </w:pPr>
          </w:p>
        </w:tc>
        <w:tc>
          <w:tcPr>
            <w:tcW w:w="1340" w:type="dxa"/>
            <w:vAlign w:val="bottom"/>
          </w:tcPr>
          <w:p>
            <w:pPr>
              <w:jc w:val="right"/>
              <w:ind w:right="226"/>
              <w:spacing w:after="0"/>
              <w:rPr>
                <w:sz w:val="20"/>
                <w:szCs w:val="20"/>
                <w:color w:val="auto"/>
              </w:rPr>
            </w:pPr>
            <w:r>
              <w:rPr>
                <w:rFonts w:ascii="Arial" w:cs="Arial" w:eastAsia="Arial" w:hAnsi="Arial"/>
                <w:sz w:val="11"/>
                <w:szCs w:val="11"/>
                <w:b w:val="1"/>
                <w:bCs w:val="1"/>
                <w:color w:val="auto"/>
              </w:rPr>
              <w:t>December 31, 2025</w:t>
            </w:r>
          </w:p>
        </w:tc>
      </w:tr>
      <w:tr>
        <w:trPr>
          <w:trHeight w:val="12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Nonperforming Assets:</w:t>
            </w: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136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42"/>
        </w:trPr>
        <w:tc>
          <w:tcPr>
            <w:tcW w:w="8080" w:type="dxa"/>
            <w:vAlign w:val="bottom"/>
          </w:tcPr>
          <w:p>
            <w:pPr>
              <w:ind w:left="140"/>
              <w:spacing w:after="0"/>
              <w:rPr>
                <w:sz w:val="20"/>
                <w:szCs w:val="20"/>
                <w:color w:val="auto"/>
              </w:rPr>
            </w:pPr>
            <w:r>
              <w:rPr>
                <w:rFonts w:ascii="Arial" w:cs="Arial" w:eastAsia="Arial" w:hAnsi="Arial"/>
                <w:sz w:val="11"/>
                <w:szCs w:val="11"/>
                <w:color w:val="auto"/>
              </w:rPr>
              <w:t>Nonaccrual loans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117,415</w:t>
            </w:r>
          </w:p>
        </w:tc>
        <w:tc>
          <w:tcPr>
            <w:tcW w:w="12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71,773</w:t>
            </w: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62"/>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real estate owned and repossessions</w:t>
            </w:r>
          </w:p>
        </w:tc>
        <w:tc>
          <w:tcPr>
            <w:tcW w:w="16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1,605</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658</w:t>
            </w:r>
          </w:p>
        </w:tc>
      </w:tr>
      <w:tr>
        <w:trPr>
          <w:trHeight w:val="136"/>
        </w:trPr>
        <w:tc>
          <w:tcPr>
            <w:tcW w:w="8080" w:type="dxa"/>
            <w:vAlign w:val="bottom"/>
          </w:tcPr>
          <w:p>
            <w:pPr>
              <w:ind w:left="360"/>
              <w:spacing w:after="0"/>
              <w:rPr>
                <w:sz w:val="20"/>
                <w:szCs w:val="20"/>
                <w:color w:val="auto"/>
              </w:rPr>
            </w:pPr>
            <w:r>
              <w:rPr>
                <w:rFonts w:ascii="Arial" w:cs="Arial" w:eastAsia="Arial" w:hAnsi="Arial"/>
                <w:sz w:val="11"/>
                <w:szCs w:val="11"/>
                <w:color w:val="auto"/>
              </w:rPr>
              <w:t>Nonperforming assets</w:t>
            </w: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119,020</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72,431</w:t>
            </w: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5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Accruing loans 90+ days delinquent</w:t>
            </w:r>
          </w:p>
        </w:tc>
        <w:tc>
          <w:tcPr>
            <w:tcW w:w="1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12,672</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2,042</w:t>
            </w:r>
          </w:p>
        </w:tc>
      </w:tr>
      <w:tr>
        <w:trPr>
          <w:trHeight w:val="162"/>
        </w:trPr>
        <w:tc>
          <w:tcPr>
            <w:tcW w:w="8080" w:type="dxa"/>
            <w:vAlign w:val="bottom"/>
          </w:tcPr>
          <w:p>
            <w:pPr>
              <w:ind w:left="20"/>
              <w:spacing w:after="0"/>
              <w:rPr>
                <w:sz w:val="20"/>
                <w:szCs w:val="20"/>
                <w:color w:val="auto"/>
              </w:rPr>
            </w:pPr>
            <w:r>
              <w:rPr>
                <w:rFonts w:ascii="Arial" w:cs="Arial" w:eastAsia="Arial" w:hAnsi="Arial"/>
                <w:sz w:val="11"/>
                <w:szCs w:val="11"/>
                <w:color w:val="auto"/>
              </w:rPr>
              <w:t>Nonperforming assets and loans 90 days or more delinquent</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131,692</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74,473</w:t>
            </w:r>
          </w:p>
        </w:tc>
      </w:tr>
      <w:tr>
        <w:trPr>
          <w:trHeight w:val="21"/>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The composition of nonperforming assets plus accruing loans 90 days or more delinquent is reflected in the following table by loan class.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8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16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September 30, 2026</w:t>
            </w:r>
          </w:p>
        </w:tc>
        <w:tc>
          <w:tcPr>
            <w:tcW w:w="180" w:type="dxa"/>
            <w:vAlign w:val="bottom"/>
          </w:tcPr>
          <w:p>
            <w:pPr>
              <w:spacing w:after="0"/>
              <w:rPr>
                <w:sz w:val="13"/>
                <w:szCs w:val="13"/>
                <w:color w:val="auto"/>
              </w:rPr>
            </w:pPr>
          </w:p>
        </w:tc>
        <w:tc>
          <w:tcPr>
            <w:tcW w:w="1340" w:type="dxa"/>
            <w:vAlign w:val="bottom"/>
          </w:tcPr>
          <w:p>
            <w:pPr>
              <w:jc w:val="right"/>
              <w:ind w:right="226"/>
              <w:spacing w:after="0"/>
              <w:rPr>
                <w:sz w:val="20"/>
                <w:szCs w:val="20"/>
                <w:color w:val="auto"/>
              </w:rPr>
            </w:pPr>
            <w:r>
              <w:rPr>
                <w:rFonts w:ascii="Arial" w:cs="Arial" w:eastAsia="Arial" w:hAnsi="Arial"/>
                <w:sz w:val="11"/>
                <w:szCs w:val="11"/>
                <w:b w:val="1"/>
                <w:bCs w:val="1"/>
                <w:color w:val="auto"/>
              </w:rPr>
              <w:t>December 31, 2025</w:t>
            </w:r>
          </w:p>
        </w:tc>
      </w:tr>
      <w:tr>
        <w:trPr>
          <w:trHeight w:val="12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Nonperforming assets and loans 90 days or more delinquent:</w:t>
            </w: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136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13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42"/>
        </w:trPr>
        <w:tc>
          <w:tcPr>
            <w:tcW w:w="8080" w:type="dxa"/>
            <w:vAlign w:val="bottom"/>
          </w:tcPr>
          <w:p>
            <w:pPr>
              <w:ind w:left="140"/>
              <w:spacing w:after="0"/>
              <w:rPr>
                <w:sz w:val="20"/>
                <w:szCs w:val="20"/>
                <w:color w:val="auto"/>
              </w:rPr>
            </w:pPr>
            <w:r>
              <w:rPr>
                <w:rFonts w:ascii="Arial" w:cs="Arial" w:eastAsia="Arial" w:hAnsi="Arial"/>
                <w:sz w:val="11"/>
                <w:szCs w:val="11"/>
                <w:color w:val="auto"/>
              </w:rPr>
              <w:t>Commercial and industrial loans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52,753</w:t>
            </w:r>
          </w:p>
        </w:tc>
        <w:tc>
          <w:tcPr>
            <w:tcW w:w="12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10,861</w:t>
            </w: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Agricultural land, production and other loans to farmers</w:t>
            </w:r>
          </w:p>
        </w:tc>
        <w:tc>
          <w:tcPr>
            <w:tcW w:w="1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182</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250</w:t>
            </w:r>
          </w:p>
        </w:tc>
      </w:tr>
      <w:tr>
        <w:trPr>
          <w:trHeight w:val="142"/>
        </w:trPr>
        <w:tc>
          <w:tcPr>
            <w:tcW w:w="8080" w:type="dxa"/>
            <w:vAlign w:val="bottom"/>
          </w:tcPr>
          <w:p>
            <w:pPr>
              <w:ind w:left="140"/>
              <w:spacing w:after="0"/>
              <w:rPr>
                <w:sz w:val="20"/>
                <w:szCs w:val="20"/>
                <w:color w:val="auto"/>
              </w:rPr>
            </w:pPr>
            <w:r>
              <w:rPr>
                <w:rFonts w:ascii="Arial" w:cs="Arial" w:eastAsia="Arial" w:hAnsi="Arial"/>
                <w:sz w:val="11"/>
                <w:szCs w:val="11"/>
                <w:color w:val="auto"/>
              </w:rPr>
              <w:t>Real estate loans:</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62"/>
        </w:trPr>
        <w:tc>
          <w:tcPr>
            <w:tcW w:w="80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Construction</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13,345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23,776</w:t>
            </w:r>
          </w:p>
        </w:tc>
      </w:tr>
      <w:tr>
        <w:trPr>
          <w:trHeight w:val="142"/>
        </w:trPr>
        <w:tc>
          <w:tcPr>
            <w:tcW w:w="8080" w:type="dxa"/>
            <w:vAlign w:val="bottom"/>
          </w:tcPr>
          <w:p>
            <w:pPr>
              <w:ind w:left="360"/>
              <w:spacing w:after="0"/>
              <w:rPr>
                <w:sz w:val="20"/>
                <w:szCs w:val="20"/>
                <w:color w:val="auto"/>
              </w:rPr>
            </w:pPr>
            <w:r>
              <w:rPr>
                <w:rFonts w:ascii="Arial" w:cs="Arial" w:eastAsia="Arial" w:hAnsi="Arial"/>
                <w:sz w:val="11"/>
                <w:szCs w:val="11"/>
                <w:color w:val="auto"/>
              </w:rPr>
              <w:t>Commercial real estate, non-owner occupied</w:t>
            </w:r>
          </w:p>
        </w:tc>
        <w:tc>
          <w:tcPr>
            <w:tcW w:w="16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10,302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837</w:t>
            </w: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Commercial real estate, owner occupied</w:t>
            </w:r>
          </w:p>
        </w:tc>
        <w:tc>
          <w:tcPr>
            <w:tcW w:w="16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11,060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3,705</w:t>
            </w:r>
          </w:p>
        </w:tc>
      </w:tr>
      <w:tr>
        <w:trPr>
          <w:trHeight w:val="152"/>
        </w:trPr>
        <w:tc>
          <w:tcPr>
            <w:tcW w:w="8080" w:type="dxa"/>
            <w:vAlign w:val="bottom"/>
          </w:tcPr>
          <w:p>
            <w:pPr>
              <w:ind w:left="360"/>
              <w:spacing w:after="0"/>
              <w:rPr>
                <w:sz w:val="20"/>
                <w:szCs w:val="20"/>
                <w:color w:val="auto"/>
              </w:rPr>
            </w:pPr>
            <w:r>
              <w:rPr>
                <w:rFonts w:ascii="Arial" w:cs="Arial" w:eastAsia="Arial" w:hAnsi="Arial"/>
                <w:sz w:val="11"/>
                <w:szCs w:val="11"/>
                <w:color w:val="auto"/>
              </w:rPr>
              <w:t>Residential</w:t>
            </w:r>
          </w:p>
        </w:tc>
        <w:tc>
          <w:tcPr>
            <w:tcW w:w="160" w:type="dxa"/>
            <w:vAlign w:val="bottom"/>
          </w:tcPr>
          <w:p>
            <w:pPr>
              <w:spacing w:after="0"/>
              <w:rPr>
                <w:sz w:val="13"/>
                <w:szCs w:val="13"/>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36,956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30,786</w:t>
            </w:r>
          </w:p>
        </w:tc>
      </w:tr>
      <w:tr>
        <w:trPr>
          <w:trHeight w:val="152"/>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Home equity</w:t>
            </w:r>
          </w:p>
        </w:tc>
        <w:tc>
          <w:tcPr>
            <w:tcW w:w="16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6,865</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4,238</w:t>
            </w:r>
          </w:p>
        </w:tc>
      </w:tr>
      <w:tr>
        <w:trPr>
          <w:trHeight w:val="142"/>
        </w:trPr>
        <w:tc>
          <w:tcPr>
            <w:tcW w:w="8080" w:type="dxa"/>
            <w:vAlign w:val="bottom"/>
          </w:tcPr>
          <w:p>
            <w:pPr>
              <w:ind w:left="140"/>
              <w:spacing w:after="0"/>
              <w:rPr>
                <w:sz w:val="20"/>
                <w:szCs w:val="20"/>
                <w:color w:val="auto"/>
              </w:rPr>
            </w:pPr>
            <w:r>
              <w:rPr>
                <w:rFonts w:ascii="Arial" w:cs="Arial" w:eastAsia="Arial" w:hAnsi="Arial"/>
                <w:sz w:val="11"/>
                <w:szCs w:val="11"/>
                <w:color w:val="auto"/>
              </w:rPr>
              <w:t>Individuals' loans for household and other personal expenditures</w:t>
            </w:r>
          </w:p>
        </w:tc>
        <w:tc>
          <w:tcPr>
            <w:tcW w:w="160" w:type="dxa"/>
            <w:vAlign w:val="bottom"/>
          </w:tcPr>
          <w:p>
            <w:pPr>
              <w:spacing w:after="0"/>
              <w:rPr>
                <w:sz w:val="12"/>
                <w:szCs w:val="12"/>
                <w:color w:val="auto"/>
              </w:rPr>
            </w:pP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139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20</w:t>
            </w: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56"/>
        </w:trPr>
        <w:tc>
          <w:tcPr>
            <w:tcW w:w="80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Public finance and other commercial loans</w:t>
            </w:r>
          </w:p>
        </w:tc>
        <w:tc>
          <w:tcPr>
            <w:tcW w:w="1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90</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62"/>
        </w:trPr>
        <w:tc>
          <w:tcPr>
            <w:tcW w:w="8080" w:type="dxa"/>
            <w:vAlign w:val="bottom"/>
          </w:tcPr>
          <w:p>
            <w:pPr>
              <w:ind w:left="20"/>
              <w:spacing w:after="0"/>
              <w:rPr>
                <w:sz w:val="20"/>
                <w:szCs w:val="20"/>
                <w:color w:val="auto"/>
              </w:rPr>
            </w:pPr>
            <w:r>
              <w:rPr>
                <w:rFonts w:ascii="Arial" w:cs="Arial" w:eastAsia="Arial" w:hAnsi="Arial"/>
                <w:sz w:val="11"/>
                <w:szCs w:val="11"/>
                <w:color w:val="auto"/>
              </w:rPr>
              <w:t>Nonperforming assets and loans 90 days or more delinquent</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131,692</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74,473</w:t>
            </w:r>
          </w:p>
        </w:tc>
      </w:tr>
      <w:tr>
        <w:trPr>
          <w:trHeight w:val="21"/>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Expense and Allowance for Credit Losses on Loans</w:t>
      </w:r>
    </w:p>
    <w:p>
      <w:pPr>
        <w:spacing w:after="0" w:line="244"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The CECL model requires the measurement of all expected credit losses for financial assets measured at amortized cost based on historical experience, current conditions, and reasonable and supportable forecasts. CECL also requires enhanced disclosures related to the significant estimates and judgments used in estimating credit losses, as well as credit quality and underwriting standards of an organization's portfolio. Additional details of the Corporation's CECL methodology and allowance calculation are discussed within NOTE 4. LOANS AND ALLOWANCE FOR CREDIT LOSSES of the Notes to Consolidated Condensed Financial Statements of this Quarterly Report on Form 10-Q.</w:t>
      </w:r>
    </w:p>
    <w:p>
      <w:pPr>
        <w:spacing w:after="0" w:line="204"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The CECL allowance is maintained through the provision for credit losses, which is a charge against earnings. Based on management’s judgment as to the appropriate level of the allowance for credit losses, the amount provided in any period may be greater or less than net loan losses for the same period. The determination of the provision amount and the adequacy of the allowance in any period is based on management’s continuing review and evaluation of the loan portfolio.</w:t>
      </w:r>
    </w:p>
    <w:p>
      <w:pPr>
        <w:spacing w:after="0" w:line="207"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The Corporation’s loan balances, excluding loans held for sale, increased $1.8 billion from December 31, 2025, to $15.6 billion at September 30, 2026. The ACL - Loans increased $19.9 million from December 31, 2025, to $215.5 million at September 30, 2026. As a percentage of loans, the ACL - Loans was 1.38 percent and 1.42 percent at September 30, 2026 and December 31, 2025,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Corporation’s credit loss experience is presented in the table below for the periods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506"/>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2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Allowance for credit losses - loans:</w:t>
            </w:r>
          </w:p>
        </w:tc>
        <w:tc>
          <w:tcPr>
            <w:tcW w:w="84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300" w:type="dxa"/>
            <w:vAlign w:val="bottom"/>
          </w:tcPr>
          <w:p>
            <w:pPr>
              <w:ind w:left="360"/>
              <w:spacing w:after="0"/>
              <w:rPr>
                <w:sz w:val="20"/>
                <w:szCs w:val="20"/>
                <w:color w:val="auto"/>
              </w:rPr>
            </w:pPr>
            <w:r>
              <w:rPr>
                <w:rFonts w:ascii="Arial" w:cs="Arial" w:eastAsia="Arial" w:hAnsi="Arial"/>
                <w:sz w:val="11"/>
                <w:szCs w:val="11"/>
                <w:color w:val="auto"/>
              </w:rPr>
              <w:t>Beginning balance</w:t>
            </w:r>
          </w:p>
        </w:tc>
        <w:tc>
          <w:tcPr>
            <w:tcW w:w="840" w:type="dxa"/>
            <w:vAlign w:val="bottom"/>
          </w:tcPr>
          <w:p>
            <w:pPr>
              <w:jc w:val="right"/>
              <w:ind w:right="70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241,615</w:t>
            </w:r>
          </w:p>
        </w:tc>
        <w:tc>
          <w:tcPr>
            <w:tcW w:w="120" w:type="dxa"/>
            <w:vAlign w:val="bottom"/>
          </w:tcPr>
          <w:p>
            <w:pPr>
              <w:spacing w:after="0"/>
              <w:rPr>
                <w:sz w:val="12"/>
                <w:szCs w:val="12"/>
                <w:color w:val="auto"/>
              </w:rPr>
            </w:pP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6"/>
              <w:spacing w:after="0"/>
              <w:rPr>
                <w:sz w:val="20"/>
                <w:szCs w:val="20"/>
                <w:color w:val="auto"/>
              </w:rPr>
            </w:pPr>
            <w:r>
              <w:rPr>
                <w:rFonts w:ascii="Arial" w:cs="Arial" w:eastAsia="Arial" w:hAnsi="Arial"/>
                <w:sz w:val="11"/>
                <w:szCs w:val="11"/>
                <w:color w:val="auto"/>
                <w:w w:val="90"/>
              </w:rPr>
              <w:t>195,316</w:t>
            </w:r>
          </w:p>
        </w:tc>
        <w:tc>
          <w:tcPr>
            <w:tcW w:w="10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195,597</w:t>
            </w:r>
          </w:p>
        </w:tc>
        <w:tc>
          <w:tcPr>
            <w:tcW w:w="12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192,757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Loans charged off</w:t>
            </w:r>
          </w:p>
        </w:tc>
        <w:tc>
          <w:tcPr>
            <w:tcW w:w="8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(30,876)</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(6,499)</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(48,292)</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(16,932)</w:t>
            </w:r>
          </w:p>
        </w:tc>
        <w:tc>
          <w:tcPr>
            <w:tcW w:w="0" w:type="dxa"/>
            <w:vAlign w:val="bottom"/>
          </w:tcPr>
          <w:p>
            <w:pPr>
              <w:spacing w:after="0"/>
              <w:rPr>
                <w:sz w:val="1"/>
                <w:szCs w:val="1"/>
                <w:color w:val="auto"/>
              </w:rPr>
            </w:pPr>
          </w:p>
        </w:tc>
      </w:tr>
      <w:tr>
        <w:trPr>
          <w:trHeight w:val="155"/>
        </w:trPr>
        <w:tc>
          <w:tcPr>
            <w:tcW w:w="530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Recoveries on loans</w:t>
            </w: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1,487</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1,351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4,742</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4,543</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Net charge-offs</w:t>
            </w:r>
          </w:p>
        </w:tc>
        <w:tc>
          <w:tcPr>
            <w:tcW w:w="8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(29,389)</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(5,148)</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(43,550)</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(12,389)</w:t>
            </w:r>
          </w:p>
        </w:tc>
        <w:tc>
          <w:tcPr>
            <w:tcW w:w="0" w:type="dxa"/>
            <w:vAlign w:val="bottom"/>
          </w:tcPr>
          <w:p>
            <w:pPr>
              <w:spacing w:after="0"/>
              <w:rPr>
                <w:sz w:val="1"/>
                <w:szCs w:val="1"/>
                <w:color w:val="auto"/>
              </w:rPr>
            </w:pPr>
          </w:p>
        </w:tc>
      </w:tr>
      <w:tr>
        <w:trPr>
          <w:trHeight w:val="142"/>
        </w:trPr>
        <w:tc>
          <w:tcPr>
            <w:tcW w:w="5300" w:type="dxa"/>
            <w:vAlign w:val="bottom"/>
          </w:tcPr>
          <w:p>
            <w:pPr>
              <w:ind w:left="360"/>
              <w:spacing w:after="0"/>
              <w:rPr>
                <w:sz w:val="20"/>
                <w:szCs w:val="20"/>
                <w:color w:val="auto"/>
              </w:rPr>
            </w:pPr>
            <w:r>
              <w:rPr>
                <w:rFonts w:ascii="Arial" w:cs="Arial" w:eastAsia="Arial" w:hAnsi="Arial"/>
                <w:sz w:val="11"/>
                <w:szCs w:val="11"/>
                <w:color w:val="auto"/>
              </w:rPr>
              <w:t>Provision for credit losses - loans</w:t>
            </w:r>
          </w:p>
        </w:tc>
        <w:tc>
          <w:tcPr>
            <w:tcW w:w="84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3,300</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4,300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41,200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14,100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CECL Day 1 PSL ACL - loans</w:t>
            </w:r>
          </w:p>
        </w:tc>
        <w:tc>
          <w:tcPr>
            <w:tcW w:w="8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15,212</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300" w:type="dxa"/>
            <w:vAlign w:val="bottom"/>
          </w:tcPr>
          <w:p>
            <w:pPr>
              <w:ind w:left="360"/>
              <w:spacing w:after="0"/>
              <w:rPr>
                <w:sz w:val="20"/>
                <w:szCs w:val="20"/>
                <w:color w:val="auto"/>
              </w:rPr>
            </w:pPr>
            <w:r>
              <w:rPr>
                <w:rFonts w:ascii="Arial" w:cs="Arial" w:eastAsia="Arial" w:hAnsi="Arial"/>
                <w:sz w:val="11"/>
                <w:szCs w:val="11"/>
                <w:color w:val="auto"/>
              </w:rPr>
              <w:t>CECL Day 1 PCD ACL - loans</w:t>
            </w:r>
          </w:p>
        </w:tc>
        <w:tc>
          <w:tcPr>
            <w:tcW w:w="8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7,067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Balances, September 30</w:t>
            </w:r>
          </w:p>
        </w:tc>
        <w:tc>
          <w:tcPr>
            <w:tcW w:w="84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215,526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0"/>
              </w:rPr>
              <w:t>194,468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215,526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194,468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Ratio of net charge-offs during the period to average loans outstanding during the period</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3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jc w:val="right"/>
              <w:spacing w:after="0" w:line="116" w:lineRule="exact"/>
              <w:rPr>
                <w:sz w:val="20"/>
                <w:szCs w:val="20"/>
                <w:color w:val="auto"/>
              </w:rPr>
            </w:pPr>
            <w:r>
              <w:rPr>
                <w:rFonts w:ascii="Arial" w:cs="Arial" w:eastAsia="Arial" w:hAnsi="Arial"/>
                <w:sz w:val="11"/>
                <w:szCs w:val="11"/>
                <w:color w:val="auto"/>
              </w:rPr>
              <w:t>0.75 %</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Arial" w:cs="Arial" w:eastAsia="Arial" w:hAnsi="Arial"/>
                <w:sz w:val="11"/>
                <w:szCs w:val="11"/>
                <w:color w:val="auto"/>
              </w:rPr>
              <w:t>0.15 %</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line="116" w:lineRule="exact"/>
              <w:rPr>
                <w:sz w:val="20"/>
                <w:szCs w:val="20"/>
                <w:color w:val="auto"/>
              </w:rPr>
            </w:pPr>
            <w:r>
              <w:rPr>
                <w:rFonts w:ascii="Arial" w:cs="Arial" w:eastAsia="Arial" w:hAnsi="Arial"/>
                <w:sz w:val="11"/>
                <w:szCs w:val="11"/>
                <w:color w:val="auto"/>
              </w:rPr>
              <w:t>0.38 %</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line="116" w:lineRule="exact"/>
              <w:rPr>
                <w:sz w:val="20"/>
                <w:szCs w:val="20"/>
                <w:color w:val="auto"/>
              </w:rPr>
            </w:pPr>
            <w:r>
              <w:rPr>
                <w:rFonts w:ascii="Arial" w:cs="Arial" w:eastAsia="Arial" w:hAnsi="Arial"/>
                <w:sz w:val="11"/>
                <w:szCs w:val="11"/>
                <w:color w:val="auto"/>
              </w:rPr>
              <w:t>0.13 %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Ratio of allowance for credit losses - loans to nonaccrual loans</w:t>
            </w:r>
          </w:p>
        </w:tc>
        <w:tc>
          <w:tcPr>
            <w:tcW w:w="8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183.6 %</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295.8 %</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183.6 %</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295.8 %</w:t>
            </w:r>
          </w:p>
        </w:tc>
        <w:tc>
          <w:tcPr>
            <w:tcW w:w="0" w:type="dxa"/>
            <w:vAlign w:val="bottom"/>
          </w:tcPr>
          <w:p>
            <w:pPr>
              <w:spacing w:after="0"/>
              <w:rPr>
                <w:sz w:val="1"/>
                <w:szCs w:val="1"/>
                <w:color w:val="auto"/>
              </w:rPr>
            </w:pPr>
          </w:p>
        </w:tc>
      </w:tr>
      <w:tr>
        <w:trPr>
          <w:trHeight w:val="142"/>
        </w:trPr>
        <w:tc>
          <w:tcPr>
            <w:tcW w:w="5300" w:type="dxa"/>
            <w:vAlign w:val="bottom"/>
          </w:tcPr>
          <w:p>
            <w:pPr>
              <w:ind w:left="20"/>
              <w:spacing w:after="0"/>
              <w:rPr>
                <w:sz w:val="20"/>
                <w:szCs w:val="20"/>
                <w:color w:val="auto"/>
              </w:rPr>
            </w:pPr>
            <w:r>
              <w:rPr>
                <w:rFonts w:ascii="Arial" w:cs="Arial" w:eastAsia="Arial" w:hAnsi="Arial"/>
                <w:sz w:val="11"/>
                <w:szCs w:val="11"/>
                <w:color w:val="auto"/>
              </w:rPr>
              <w:t>Ratio of allowance for credit losses - loans to total loans outstanding</w:t>
            </w:r>
          </w:p>
        </w:tc>
        <w:tc>
          <w:tcPr>
            <w:tcW w:w="8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1.38 %</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1.43 %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1.38 %</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1.43 %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72"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Net charge-offs totaling $29.4 million and $43.6 million were recognized for the three and nine months ended September 30, 2026, respectively, including $29.0 million related to two commercial lending relationships that had been specifically reserved for during the second quarter of 2026. Provision expense of $3.3 million and $41.2 million was</w:t>
      </w:r>
    </w:p>
    <w:p>
      <w:pPr>
        <w:spacing w:after="0" w:line="1"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recorded for the three and nine months ended September 30, 2026, respectively. Net charge-offs totaling $5.1 million and $12.4 million were recognized for the three and nine months ended September 30, 2025, respectively, and provision for credit losses - loans of $4.3 million and $14.1 million, respectively, were recorded.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The distribution of the net charge-offs (recoveries) for the three and nine months ended September 30, 2026 and 2025 are reflected in the following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220"/>
              <w:spacing w:after="0"/>
              <w:rPr>
                <w:sz w:val="20"/>
                <w:szCs w:val="20"/>
                <w:color w:val="auto"/>
              </w:rPr>
            </w:pPr>
            <w:r>
              <w:rPr>
                <w:rFonts w:ascii="Arial" w:cs="Arial" w:eastAsia="Arial" w:hAnsi="Arial"/>
                <w:sz w:val="11"/>
                <w:szCs w:val="11"/>
                <w:b w:val="1"/>
                <w:bCs w:val="1"/>
                <w:color w:val="auto"/>
              </w:rPr>
              <w:t>Three Months Ended September 30,</w:t>
            </w:r>
          </w:p>
        </w:tc>
        <w:tc>
          <w:tcPr>
            <w:tcW w:w="320" w:type="dxa"/>
            <w:vAlign w:val="bottom"/>
          </w:tcPr>
          <w:p>
            <w:pPr>
              <w:spacing w:after="0"/>
              <w:rPr>
                <w:sz w:val="13"/>
                <w:szCs w:val="13"/>
                <w:color w:val="auto"/>
              </w:rPr>
            </w:pPr>
          </w:p>
        </w:tc>
        <w:tc>
          <w:tcPr>
            <w:tcW w:w="2600" w:type="dxa"/>
            <w:vAlign w:val="bottom"/>
            <w:gridSpan w:val="4"/>
          </w:tcPr>
          <w:p>
            <w:pPr>
              <w:ind w:left="240"/>
              <w:spacing w:after="0"/>
              <w:rPr>
                <w:sz w:val="20"/>
                <w:szCs w:val="20"/>
                <w:color w:val="auto"/>
              </w:rPr>
            </w:pPr>
            <w:r>
              <w:rPr>
                <w:rFonts w:ascii="Arial" w:cs="Arial" w:eastAsia="Arial" w:hAnsi="Arial"/>
                <w:sz w:val="11"/>
                <w:szCs w:val="11"/>
                <w:b w:val="1"/>
                <w:bCs w:val="1"/>
                <w:color w:val="auto"/>
              </w:rPr>
              <w:t>Nine Months Ended September 30,</w:t>
            </w:r>
          </w:p>
        </w:tc>
      </w:tr>
      <w:tr>
        <w:trPr>
          <w:trHeight w:val="15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w:t>
            </w: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2025</w:t>
            </w:r>
          </w:p>
        </w:tc>
      </w:tr>
      <w:tr>
        <w:trPr>
          <w:trHeight w:val="12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charge-offs (recoveries):</w:t>
            </w:r>
          </w:p>
        </w:tc>
        <w:tc>
          <w:tcPr>
            <w:tcW w:w="3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r>
      <w:tr>
        <w:trPr>
          <w:trHeight w:val="142"/>
        </w:trPr>
        <w:tc>
          <w:tcPr>
            <w:tcW w:w="5280" w:type="dxa"/>
            <w:vAlign w:val="bottom"/>
          </w:tcPr>
          <w:p>
            <w:pPr>
              <w:ind w:left="140"/>
              <w:spacing w:after="0"/>
              <w:rPr>
                <w:sz w:val="20"/>
                <w:szCs w:val="20"/>
                <w:color w:val="auto"/>
              </w:rPr>
            </w:pPr>
            <w:r>
              <w:rPr>
                <w:rFonts w:ascii="Arial" w:cs="Arial" w:eastAsia="Arial" w:hAnsi="Arial"/>
                <w:sz w:val="11"/>
                <w:szCs w:val="11"/>
                <w:color w:val="auto"/>
              </w:rPr>
              <w:t>Commercial and industrial loans</w:t>
            </w: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28,923</w:t>
            </w:r>
          </w:p>
        </w:tc>
        <w:tc>
          <w:tcPr>
            <w:tcW w:w="10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3,605</w:t>
            </w:r>
          </w:p>
        </w:tc>
        <w:tc>
          <w:tcPr>
            <w:tcW w:w="12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38,498</w:t>
            </w:r>
          </w:p>
        </w:tc>
        <w:tc>
          <w:tcPr>
            <w:tcW w:w="10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8,126</w:t>
            </w:r>
          </w:p>
        </w:tc>
      </w:tr>
      <w:tr>
        <w:trPr>
          <w:trHeight w:val="20"/>
        </w:trPr>
        <w:tc>
          <w:tcPr>
            <w:tcW w:w="5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Agricultural land, production and other loans to farmers</w:t>
            </w:r>
          </w:p>
        </w:tc>
        <w:tc>
          <w:tcPr>
            <w:tcW w:w="3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2"/>
        </w:trPr>
        <w:tc>
          <w:tcPr>
            <w:tcW w:w="5280" w:type="dxa"/>
            <w:vAlign w:val="bottom"/>
          </w:tcPr>
          <w:p>
            <w:pPr>
              <w:ind w:left="140"/>
              <w:spacing w:after="0"/>
              <w:rPr>
                <w:sz w:val="20"/>
                <w:szCs w:val="20"/>
                <w:color w:val="auto"/>
              </w:rPr>
            </w:pPr>
            <w:r>
              <w:rPr>
                <w:rFonts w:ascii="Arial" w:cs="Arial" w:eastAsia="Arial" w:hAnsi="Arial"/>
                <w:sz w:val="11"/>
                <w:szCs w:val="11"/>
                <w:color w:val="auto"/>
              </w:rPr>
              <w:t>Real estate loans: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Construction</w:t>
            </w:r>
          </w:p>
        </w:tc>
        <w:tc>
          <w:tcPr>
            <w:tcW w:w="3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w:t>
            </w:r>
          </w:p>
        </w:tc>
      </w:tr>
      <w:tr>
        <w:trPr>
          <w:trHeight w:val="142"/>
        </w:trPr>
        <w:tc>
          <w:tcPr>
            <w:tcW w:w="5280" w:type="dxa"/>
            <w:vAlign w:val="bottom"/>
          </w:tcPr>
          <w:p>
            <w:pPr>
              <w:ind w:left="360"/>
              <w:spacing w:after="0"/>
              <w:rPr>
                <w:sz w:val="20"/>
                <w:szCs w:val="20"/>
                <w:color w:val="auto"/>
              </w:rPr>
            </w:pPr>
            <w:r>
              <w:rPr>
                <w:rFonts w:ascii="Arial" w:cs="Arial" w:eastAsia="Arial" w:hAnsi="Arial"/>
                <w:sz w:val="11"/>
                <w:szCs w:val="11"/>
                <w:color w:val="auto"/>
              </w:rPr>
              <w:t>Commercial real estate, non-owner occupied</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200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3,294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372</w:t>
            </w:r>
          </w:p>
        </w:tc>
      </w:tr>
      <w:tr>
        <w:trPr>
          <w:trHeight w:val="20"/>
        </w:trPr>
        <w:tc>
          <w:tcPr>
            <w:tcW w:w="5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2"/>
        </w:trPr>
        <w:tc>
          <w:tcPr>
            <w:tcW w:w="52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Commercial real estate, owner occupied</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387</w:t>
            </w:r>
          </w:p>
        </w:tc>
      </w:tr>
      <w:tr>
        <w:trPr>
          <w:trHeight w:val="142"/>
        </w:trPr>
        <w:tc>
          <w:tcPr>
            <w:tcW w:w="5280" w:type="dxa"/>
            <w:vAlign w:val="bottom"/>
          </w:tcPr>
          <w:p>
            <w:pPr>
              <w:ind w:left="360"/>
              <w:spacing w:after="0"/>
              <w:rPr>
                <w:sz w:val="20"/>
                <w:szCs w:val="20"/>
                <w:color w:val="auto"/>
              </w:rPr>
            </w:pPr>
            <w:r>
              <w:rPr>
                <w:rFonts w:ascii="Arial" w:cs="Arial" w:eastAsia="Arial" w:hAnsi="Arial"/>
                <w:sz w:val="11"/>
                <w:szCs w:val="11"/>
                <w:color w:val="auto"/>
              </w:rPr>
              <w:t>Residential</w:t>
            </w:r>
          </w:p>
        </w:tc>
        <w:tc>
          <w:tcPr>
            <w:tcW w:w="32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361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869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886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1,449</w:t>
            </w:r>
          </w:p>
        </w:tc>
      </w:tr>
      <w:tr>
        <w:trPr>
          <w:trHeight w:val="20"/>
        </w:trPr>
        <w:tc>
          <w:tcPr>
            <w:tcW w:w="5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2"/>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Home equity</w:t>
            </w:r>
          </w:p>
        </w:tc>
        <w:tc>
          <w:tcPr>
            <w:tcW w:w="3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(260)</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961</w:t>
            </w:r>
          </w:p>
        </w:tc>
      </w:tr>
      <w:tr>
        <w:trPr>
          <w:trHeight w:val="156"/>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Individuals' loans for household and other personal expenditures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386</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1,031</w:t>
            </w:r>
          </w:p>
        </w:tc>
      </w:tr>
      <w:tr>
        <w:trPr>
          <w:trHeight w:val="187"/>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net charge-offs (recoveries)</w:t>
            </w: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29,389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5,148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43,550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12,389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Management continually evaluates the commercial loan portfolio by considering specific borrower cash flow analysis and estimated collateral values, types and amounts on nonperforming loans, past and anticipated credit loss experience, changes in the composition of the loan portfolio, and the current condition and amount of loans outstanding. The determination of the provision for credit losses in any period is based on management’s continuing review and evaluation of the loan portfolio, and its judgment as to the impact of current economic conditions on the portfolio. The Corporation continues to monitor economic forecast changes, loan growth and credit quality to determine provision needs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w:t>
      </w:r>
    </w:p>
    <w:p>
      <w:pPr>
        <w:spacing w:after="0" w:line="258"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Liquidity management is the process by which the Corporation ensures that adequate liquid funds are available for the holding company and its subsidiaries. These funds are necessary to meet financial commitments on a timely basis. These commitments include withdrawals by depositors, funding credit obligations to borrowers, paying dividends to stockholders, paying operating expenses, funding capital expenditures, and maintaining deposit reserve requirements. Liquidity is monitored and closely managed by the asset/liability committee.</w:t>
      </w:r>
    </w:p>
    <w:p>
      <w:pPr>
        <w:spacing w:after="0" w:line="21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Corporation’s liquidity is dependent upon the receipt of dividends from the Bank, which is subject to certain regulatory limitations, and access to other funding sources. Liquidity of the Bank is derived primarily from core deposit growth, principal payments received on loans, the sale and maturity of investment securities, net cash provided by operating activities, and access to other funding sources.</w:t>
      </w:r>
    </w:p>
    <w:p>
      <w:pPr>
        <w:spacing w:after="0" w:line="200" w:lineRule="exact"/>
        <w:rPr>
          <w:sz w:val="20"/>
          <w:szCs w:val="20"/>
          <w:color w:val="auto"/>
        </w:rPr>
      </w:pPr>
    </w:p>
    <w:p>
      <w:pPr>
        <w:jc w:val="both"/>
        <w:ind w:right="260"/>
        <w:spacing w:after="0" w:line="269" w:lineRule="auto"/>
        <w:rPr>
          <w:sz w:val="20"/>
          <w:szCs w:val="20"/>
          <w:color w:val="auto"/>
        </w:rPr>
      </w:pPr>
      <w:r>
        <w:rPr>
          <w:rFonts w:ascii="Arial" w:cs="Arial" w:eastAsia="Arial" w:hAnsi="Arial"/>
          <w:sz w:val="14"/>
          <w:szCs w:val="14"/>
          <w:color w:val="auto"/>
        </w:rPr>
        <w:t>The principal source of asset-funded liquidity is investment securities classified as available for sale, the market values of which totaled $1.3 billion at September 30, 2026, a decrease of $155.6 million from December 31, 2025. Securities classified as held to maturity that are maturing within a short period of time can also be a source of liquidity. Securities classified as held to maturity that are maturing in one year or less totaled $35.6 million at September 30, 2026. In addition, other types of assets such as cash and interest-bearing deposits with other banks, federal funds sold, and loans maturing within one year are sources of liquidity.</w:t>
      </w:r>
    </w:p>
    <w:p>
      <w:pPr>
        <w:spacing w:after="0" w:line="210"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The most stable source of liability-funded liquidity for both the long-term and short-term is deposit growth and retention in the core deposit base. Federal funds purchased and securities sold under agreements to repurchase are also considered sources of liquidity. In addition, FHLB advances and Federal Reserve Discount Window borrowings are utilized as funding sources. At September 30, 2026, total borrowings from the FHLB were $0.9 billion and there were no outstanding borrowings from the Federal Reserve Discount Window. The Bank has pledged certain mortgage loans and investments to the FHLB and Federal Reserve. The total available remaining borrowing capacity from the FHLB and Federal Reserve at September 30, 2026 was $1.4 billion and $6.3 billion,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Corporation's material cash requirements from known contractual and other obligations at September 30, 2026: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Payments Due In</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5"/>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One Year or Less</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Over One Year</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Total</w:t>
            </w:r>
          </w:p>
        </w:tc>
      </w:tr>
      <w:tr>
        <w:trPr>
          <w:trHeight w:val="14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Deposits without stated maturity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14,682,831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14,682,831</w:t>
            </w:r>
          </w:p>
        </w:tc>
      </w:tr>
      <w:tr>
        <w:trPr>
          <w:trHeight w:val="142"/>
        </w:trPr>
        <w:tc>
          <w:tcPr>
            <w:tcW w:w="7700" w:type="dxa"/>
            <w:vAlign w:val="bottom"/>
          </w:tcPr>
          <w:p>
            <w:pPr>
              <w:ind w:left="20"/>
              <w:spacing w:after="0"/>
              <w:rPr>
                <w:sz w:val="20"/>
                <w:szCs w:val="20"/>
                <w:color w:val="auto"/>
              </w:rPr>
            </w:pPr>
            <w:r>
              <w:rPr>
                <w:rFonts w:ascii="Arial" w:cs="Arial" w:eastAsia="Arial" w:hAnsi="Arial"/>
                <w:sz w:val="11"/>
                <w:szCs w:val="11"/>
                <w:color w:val="auto"/>
              </w:rPr>
              <w:t>Certificates and other time deposits</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2,065,516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180,585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2,246,101</w:t>
            </w:r>
          </w:p>
        </w:tc>
      </w:tr>
      <w:tr>
        <w:trPr>
          <w:trHeight w:val="20"/>
        </w:trPr>
        <w:tc>
          <w:tcPr>
            <w:tcW w:w="7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Securities sold under repurchase agreements</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99,638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99,638</w:t>
            </w:r>
          </w:p>
        </w:tc>
      </w:tr>
      <w:tr>
        <w:trPr>
          <w:trHeight w:val="142"/>
        </w:trPr>
        <w:tc>
          <w:tcPr>
            <w:tcW w:w="7700" w:type="dxa"/>
            <w:vAlign w:val="bottom"/>
          </w:tcPr>
          <w:p>
            <w:pPr>
              <w:ind w:left="20"/>
              <w:spacing w:after="0"/>
              <w:rPr>
                <w:sz w:val="20"/>
                <w:szCs w:val="20"/>
                <w:color w:val="auto"/>
              </w:rPr>
            </w:pPr>
            <w:r>
              <w:rPr>
                <w:rFonts w:ascii="Arial" w:cs="Arial" w:eastAsia="Arial" w:hAnsi="Arial"/>
                <w:sz w:val="11"/>
                <w:szCs w:val="11"/>
                <w:color w:val="auto"/>
              </w:rPr>
              <w:t>Federal Home Loan Bank advances</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450,083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453,858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903,941</w:t>
            </w:r>
          </w:p>
        </w:tc>
      </w:tr>
      <w:tr>
        <w:trPr>
          <w:trHeight w:val="20"/>
        </w:trPr>
        <w:tc>
          <w:tcPr>
            <w:tcW w:w="7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Subordinated notes, debentures and other borrowings</w:t>
            </w: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183,699</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184,505</w:t>
            </w:r>
          </w:p>
        </w:tc>
      </w:tr>
      <w:tr>
        <w:trPr>
          <w:trHeight w:val="162"/>
        </w:trPr>
        <w:tc>
          <w:tcPr>
            <w:tcW w:w="7700" w:type="dxa"/>
            <w:vAlign w:val="bottom"/>
          </w:tcPr>
          <w:p>
            <w:pPr>
              <w:ind w:left="680"/>
              <w:spacing w:after="0"/>
              <w:rPr>
                <w:sz w:val="20"/>
                <w:szCs w:val="20"/>
                <w:color w:val="auto"/>
              </w:rPr>
            </w:pPr>
            <w:r>
              <w:rPr>
                <w:rFonts w:ascii="Arial" w:cs="Arial" w:eastAsia="Arial" w:hAnsi="Arial"/>
                <w:sz w:val="11"/>
                <w:szCs w:val="1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17,298,874</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818,142</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18,117,016</w:t>
            </w: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2. MANAGEMENT'S DISCUSSION AND ANALYSIS OF FINANCIAL CONDITION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RESULTS OF OPERATIONS</w:t>
      </w:r>
    </w:p>
    <w:p>
      <w:pPr>
        <w:spacing w:after="0" w:line="200" w:lineRule="exact"/>
        <w:rPr>
          <w:sz w:val="20"/>
          <w:szCs w:val="20"/>
          <w:color w:val="auto"/>
        </w:rPr>
      </w:pPr>
    </w:p>
    <w:p>
      <w:pPr>
        <w:spacing w:after="0" w:line="359"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Also, in the normal course of business, the Bank is a party to a number of other off-balance sheet activities that contain credit, market and operational risk that are not reflected in whole or in part in our consolidated financial statements. These activities primarily consist of traditional off-balance sheet credit-related financial instruments such as loan commitments and standby letters of credit.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Summarized credit-related financial instruments at September 30, 2026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September 30, 2026</w:t>
            </w:r>
          </w:p>
        </w:tc>
      </w:tr>
      <w:tr>
        <w:trPr>
          <w:trHeight w:val="12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Amounts of commitments:</w:t>
            </w:r>
          </w:p>
        </w:tc>
        <w:tc>
          <w:tcPr>
            <w:tcW w:w="16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r>
      <w:tr>
        <w:trPr>
          <w:trHeight w:val="142"/>
        </w:trPr>
        <w:tc>
          <w:tcPr>
            <w:tcW w:w="9800" w:type="dxa"/>
            <w:vAlign w:val="bottom"/>
          </w:tcPr>
          <w:p>
            <w:pPr>
              <w:ind w:left="140"/>
              <w:spacing w:after="0"/>
              <w:rPr>
                <w:sz w:val="20"/>
                <w:szCs w:val="20"/>
                <w:color w:val="auto"/>
              </w:rPr>
            </w:pPr>
            <w:r>
              <w:rPr>
                <w:rFonts w:ascii="Arial" w:cs="Arial" w:eastAsia="Arial" w:hAnsi="Arial"/>
                <w:sz w:val="11"/>
                <w:szCs w:val="11"/>
                <w:color w:val="auto"/>
              </w:rPr>
              <w:t>Loan commitments to extend credit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6"/>
              <w:spacing w:after="0"/>
              <w:rPr>
                <w:sz w:val="20"/>
                <w:szCs w:val="20"/>
                <w:color w:val="auto"/>
              </w:rPr>
            </w:pPr>
            <w:r>
              <w:rPr>
                <w:rFonts w:ascii="Arial" w:cs="Arial" w:eastAsia="Arial" w:hAnsi="Arial"/>
                <w:sz w:val="11"/>
                <w:szCs w:val="11"/>
                <w:color w:val="auto"/>
              </w:rPr>
              <w:t>6,080,902</w:t>
            </w:r>
          </w:p>
        </w:tc>
      </w:tr>
      <w:tr>
        <w:trPr>
          <w:trHeight w:val="20"/>
        </w:trPr>
        <w:tc>
          <w:tcPr>
            <w:tcW w:w="9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55"/>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Standby and commercial letters of credit</w:t>
            </w:r>
          </w:p>
        </w:tc>
        <w:tc>
          <w:tcPr>
            <w:tcW w:w="1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109,924</w:t>
            </w:r>
          </w:p>
        </w:tc>
      </w:tr>
      <w:tr>
        <w:trPr>
          <w:trHeight w:val="156"/>
        </w:trPr>
        <w:tc>
          <w:tcPr>
            <w:tcW w:w="9800" w:type="dxa"/>
            <w:vAlign w:val="bottom"/>
          </w:tcPr>
          <w:p>
            <w:pPr>
              <w:spacing w:after="0"/>
              <w:rPr>
                <w:sz w:val="13"/>
                <w:szCs w:val="13"/>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6,190,826</w:t>
            </w:r>
          </w:p>
        </w:tc>
      </w:tr>
      <w:tr>
        <w:trPr>
          <w:trHeight w:val="27"/>
        </w:trPr>
        <w:tc>
          <w:tcPr>
            <w:tcW w:w="9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ind w:right="200"/>
        <w:spacing w:after="0" w:line="305" w:lineRule="auto"/>
        <w:rPr>
          <w:sz w:val="20"/>
          <w:szCs w:val="20"/>
          <w:color w:val="auto"/>
        </w:rPr>
      </w:pPr>
      <w:r>
        <w:rPr>
          <w:rFonts w:ascii="Arial" w:cs="Arial" w:eastAsia="Arial" w:hAnsi="Arial"/>
          <w:sz w:val="14"/>
          <w:szCs w:val="14"/>
          <w:color w:val="auto"/>
        </w:rPr>
        <w:t>Since many of the commitments are expected to expire unused or be only partially used, the total amount of unused commitments in the preceding table does not necessarily represent future cash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SENSITIVITY AND DISCLOSURE ABOUT MARKET RISK</w:t>
      </w:r>
    </w:p>
    <w:p>
      <w:pPr>
        <w:spacing w:after="0" w:line="258"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Asset/Liability management has been an important factor in the Corporation's ability to record consistent earnings growth through periods of interest rate volatility and product deregulation. Management and the Board of Directors monitor the Corporation's liquidity and interest sensitivity positions at regular meetings to review how changes in interest rates may affect earnings. Decisions regarding investment and the pricing of loan and deposit products are made after analysis of reports designed to measure liquidity, rate sensitivity, the Corporation’s exposure to changes in net interest income given various rate scenarios and the economic and competitive environments.</w:t>
      </w:r>
    </w:p>
    <w:p>
      <w:pPr>
        <w:spacing w:after="0" w:line="210"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It is the objective of the Corporation to monitor and manage risk exposure to net interest income caused by changes in interest rates. It is the goal of the Corporation’s Asset/Liability management function to provide optimum and stable net interest income. To accomplish this, management uses two asset-liability tools. GAP/Interest Rate Sensitivity Reports and Net Interest Income Simulation Modeling are constructed, presented and monitored quarterly. Management believes that the Corporation's liquidity and interest sensitivity position at September 30, 2026, remained adequate to meet the Corporation’s primary goal of achieving optimum interest margins while avoiding undue interest rate risk.</w:t>
      </w:r>
    </w:p>
    <w:p>
      <w:pPr>
        <w:spacing w:after="0" w:line="211"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Net interest income simulation modeling, or earnings-at-risk, measures the sensitivity of net interest income to various interest rate movements. The Corporation's asset-liability process monitors simulated net interest income under three separate interest rate scenarios: base, rising and falling. Estimated net interest income for each scenario is calculated over a twelve-month horizon. The immediate and parallel changes to the base case scenario used in the model are presented below. The interest rate scenarios are used for analytical purposes and do not necessarily represent management's view of future market movements. Rather, these are intended to provide a measure of the degree of volatility interest rate movements may introduce into the earnings of the Corporation.</w:t>
      </w:r>
    </w:p>
    <w:p>
      <w:pPr>
        <w:spacing w:after="0" w:line="211" w:lineRule="exact"/>
        <w:rPr>
          <w:sz w:val="20"/>
          <w:szCs w:val="20"/>
          <w:color w:val="auto"/>
        </w:rPr>
      </w:pPr>
    </w:p>
    <w:p>
      <w:pPr>
        <w:ind w:right="260"/>
        <w:spacing w:after="0" w:line="266" w:lineRule="auto"/>
        <w:rPr>
          <w:sz w:val="20"/>
          <w:szCs w:val="20"/>
          <w:color w:val="auto"/>
        </w:rPr>
      </w:pPr>
      <w:r>
        <w:rPr>
          <w:rFonts w:ascii="Arial" w:cs="Arial" w:eastAsia="Arial" w:hAnsi="Arial"/>
          <w:sz w:val="14"/>
          <w:szCs w:val="14"/>
          <w:color w:val="auto"/>
        </w:rPr>
        <w:t>The base scenario is highly dependent on numerous assumptions embedded in the model, including assumptions related to future interest rates. While the base sensitivity analysis incorporates management's best estimate of interest rate and balance sheet dynamics under various market rate movements, the actual behavior and resulting earnings impact will likely differ from those projected. For certain assets, the base simulation model captures the expected prepayment behavior under changing interest rate environments. Assumptions and methodologies regarding the interest rate or balance behavior of indeterminate maturity products, such as savings, money market, interest-bearing and demand deposits, reflect management's best estimate of expected future behavior. Historical retention rate assumptions are applied to non-maturity deposits for modeling purposes.</w:t>
      </w:r>
    </w:p>
    <w:p>
      <w:pPr>
        <w:spacing w:after="0" w:line="19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following table presents the estimated impact of immediate, parallel interest rate shocks of +100, +200, -100, and -200 basis points relative to the base case scenario as of September 30, 2026 and December 31, 2025. The change from the base case represents the cumulative change in net interest income over a twelve-month horizon. All balance sheet assumptions used in the rate shock scenarios are consistent with those applied in the base case simulation.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40" w:type="dxa"/>
            <w:vAlign w:val="bottom"/>
          </w:tcPr>
          <w:p>
            <w:pPr>
              <w:spacing w:after="0"/>
              <w:rPr>
                <w:sz w:val="13"/>
                <w:szCs w:val="13"/>
                <w:color w:val="auto"/>
              </w:rPr>
            </w:pPr>
          </w:p>
        </w:tc>
        <w:tc>
          <w:tcPr>
            <w:tcW w:w="4580" w:type="dxa"/>
            <w:vAlign w:val="bottom"/>
            <w:gridSpan w:val="2"/>
          </w:tcPr>
          <w:p>
            <w:pPr>
              <w:ind w:left="3220"/>
              <w:spacing w:after="0"/>
              <w:rPr>
                <w:sz w:val="20"/>
                <w:szCs w:val="20"/>
                <w:color w:val="auto"/>
              </w:rPr>
            </w:pPr>
            <w:r>
              <w:rPr>
                <w:rFonts w:ascii="Arial" w:cs="Arial" w:eastAsia="Arial" w:hAnsi="Arial"/>
                <w:sz w:val="11"/>
                <w:szCs w:val="11"/>
                <w:b w:val="1"/>
                <w:bCs w:val="1"/>
                <w:color w:val="auto"/>
              </w:rPr>
              <w:t>September 30, 2026</w:t>
            </w:r>
          </w:p>
        </w:tc>
        <w:tc>
          <w:tcPr>
            <w:tcW w:w="1520" w:type="dxa"/>
            <w:vAlign w:val="bottom"/>
          </w:tcPr>
          <w:p>
            <w:pPr>
              <w:jc w:val="right"/>
              <w:ind w:right="206"/>
              <w:spacing w:after="0"/>
              <w:rPr>
                <w:sz w:val="20"/>
                <w:szCs w:val="20"/>
                <w:color w:val="auto"/>
              </w:rPr>
            </w:pPr>
            <w:r>
              <w:rPr>
                <w:rFonts w:ascii="Arial" w:cs="Arial" w:eastAsia="Arial" w:hAnsi="Arial"/>
                <w:sz w:val="11"/>
                <w:szCs w:val="11"/>
                <w:b w:val="1"/>
                <w:bCs w:val="1"/>
                <w:color w:val="auto"/>
              </w:rPr>
              <w:t>December 31, 2025</w:t>
            </w:r>
          </w:p>
        </w:tc>
      </w:tr>
      <w:tr>
        <w:trPr>
          <w:trHeight w:val="162"/>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Rising 200 basis points from base case</w:t>
            </w:r>
          </w:p>
        </w:tc>
        <w:tc>
          <w:tcPr>
            <w:tcW w:w="4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3.0 %</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4.5 %</w:t>
            </w:r>
          </w:p>
        </w:tc>
      </w:tr>
      <w:tr>
        <w:trPr>
          <w:trHeight w:val="142"/>
        </w:trPr>
        <w:tc>
          <w:tcPr>
            <w:tcW w:w="5140" w:type="dxa"/>
            <w:vAlign w:val="bottom"/>
          </w:tcPr>
          <w:p>
            <w:pPr>
              <w:ind w:left="20"/>
              <w:spacing w:after="0"/>
              <w:rPr>
                <w:sz w:val="20"/>
                <w:szCs w:val="20"/>
                <w:color w:val="auto"/>
              </w:rPr>
            </w:pPr>
            <w:r>
              <w:rPr>
                <w:rFonts w:ascii="Arial" w:cs="Arial" w:eastAsia="Arial" w:hAnsi="Arial"/>
                <w:sz w:val="11"/>
                <w:szCs w:val="11"/>
                <w:color w:val="auto"/>
              </w:rPr>
              <w:t>Rising 100 basis points from base case</w:t>
            </w:r>
          </w:p>
        </w:tc>
        <w:tc>
          <w:tcPr>
            <w:tcW w:w="4480" w:type="dxa"/>
            <w:vAlign w:val="bottom"/>
          </w:tcPr>
          <w:p>
            <w:pPr>
              <w:jc w:val="right"/>
              <w:spacing w:after="0"/>
              <w:rPr>
                <w:sz w:val="20"/>
                <w:szCs w:val="20"/>
                <w:color w:val="auto"/>
              </w:rPr>
            </w:pPr>
            <w:r>
              <w:rPr>
                <w:rFonts w:ascii="Arial" w:cs="Arial" w:eastAsia="Arial" w:hAnsi="Arial"/>
                <w:sz w:val="11"/>
                <w:szCs w:val="11"/>
                <w:color w:val="auto"/>
              </w:rPr>
              <w:t>1.6 %</w:t>
            </w: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2.4 %</w:t>
            </w:r>
          </w:p>
        </w:tc>
      </w:tr>
      <w:tr>
        <w:trPr>
          <w:trHeight w:val="20"/>
        </w:trPr>
        <w:tc>
          <w:tcPr>
            <w:tcW w:w="5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4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Falling 100 basis points from base case</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w:t>
            </w:r>
          </w:p>
        </w:tc>
      </w:tr>
      <w:tr>
        <w:trPr>
          <w:trHeight w:val="142"/>
        </w:trPr>
        <w:tc>
          <w:tcPr>
            <w:tcW w:w="5140" w:type="dxa"/>
            <w:vAlign w:val="bottom"/>
          </w:tcPr>
          <w:p>
            <w:pPr>
              <w:ind w:left="20"/>
              <w:spacing w:after="0"/>
              <w:rPr>
                <w:sz w:val="20"/>
                <w:szCs w:val="20"/>
                <w:color w:val="auto"/>
              </w:rPr>
            </w:pPr>
            <w:r>
              <w:rPr>
                <w:rFonts w:ascii="Arial" w:cs="Arial" w:eastAsia="Arial" w:hAnsi="Arial"/>
                <w:sz w:val="11"/>
                <w:szCs w:val="11"/>
                <w:color w:val="auto"/>
              </w:rPr>
              <w:t>Falling 200 basis points from base case</w:t>
            </w:r>
          </w:p>
        </w:tc>
        <w:tc>
          <w:tcPr>
            <w:tcW w:w="448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(5.6)%</w:t>
            </w:r>
          </w:p>
        </w:tc>
      </w:tr>
    </w:tbl>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244" w:lineRule="exact"/>
        <w:rPr>
          <w:sz w:val="20"/>
          <w:szCs w:val="20"/>
          <w:color w:val="auto"/>
        </w:rPr>
      </w:pPr>
    </w:p>
    <w:p>
      <w:pPr>
        <w:ind w:right="360"/>
        <w:spacing w:after="0" w:line="305" w:lineRule="auto"/>
        <w:rPr>
          <w:sz w:val="20"/>
          <w:szCs w:val="20"/>
          <w:color w:val="auto"/>
        </w:rPr>
      </w:pPr>
      <w:r>
        <w:rPr>
          <w:rFonts w:ascii="Arial" w:cs="Arial" w:eastAsia="Arial" w:hAnsi="Arial"/>
          <w:sz w:val="14"/>
          <w:szCs w:val="14"/>
          <w:color w:val="auto"/>
        </w:rPr>
        <w:t>The Securities and Exchange Commission maintains a website that contains reports, proxy and information statements, and other information regarding registrants that file electronically with the Commission, including the Corporation, at https://www.sec.gov.</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3" w:name="page64"/>
    <w:bookmarkEnd w:id="63"/>
    <w:p>
      <w:pPr>
        <w:jc w:val="center"/>
        <w:ind w:right="-3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i w:val="1"/>
          <w:iCs w:val="1"/>
          <w:color w:val="auto"/>
        </w:rPr>
        <w:t>ITEM 3. QUANTITATIVE AND QUALITATIVE</w:t>
      </w:r>
    </w:p>
    <w:p>
      <w:pPr>
        <w:spacing w:after="0" w:line="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i w:val="1"/>
          <w:iCs w:val="1"/>
          <w:color w:val="auto"/>
        </w:rPr>
        <w:t>DISCLOSURES ABOUT MARKET RISK</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3. QUANTITATIVE AND QUALITATIVE DISCLOSURES ABOUT MARKET RISK</w:t>
      </w:r>
    </w:p>
    <w:p>
      <w:pPr>
        <w:spacing w:after="0" w:line="258"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 information required under this item is included as part of Management’s Discussion and Analysis of Financial Condition and Results of Operations, under the headings “LIQUIDITY” and “INTEREST SENSITIVITY AND DISCLOSURE ABOUT MARKET RISK”.</w:t>
      </w: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54" w:right="6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 FINANCIAL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4.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4. CONTROLS AND PROCEDURES</w:t>
      </w:r>
    </w:p>
    <w:p>
      <w:pPr>
        <w:spacing w:after="0" w:line="258"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At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our Chief Executive Officer and Chief Financial Officer concluded that our disclosure controls and procedures are effective. Disclosure controls and procedures are controls and procedures that are designed to provide reasonable assurance that information required to be disclosed in our reports filed or submitted under the Securities Exchange Act of 1934, as amended, is recorded, processed, summarized, and reported within the time periods specified in the Securities and Exchange Commission’s rules and forms. The procedures are also designed to ensure information is accumulated and communicated to management, including the Chief Executive Officer and Chief Financial Officer, as appropriate to allow timely decisions to be made regarding required disclosure.</w:t>
      </w:r>
    </w:p>
    <w:p>
      <w:pPr>
        <w:spacing w:after="0" w:line="20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There have been no changes in the Corporation’s internal control over financial reporting that occurred during the Corporation’s last fiscal quarter that have materially affected, or are reasonably likely to materially affect, the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PART II: OTHER INFORMATION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ITEM 1., ITEM 1A., ITEM 2., ITEM 3., ITEM 4. AND ITEM 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dollar 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 LEGAL PROCEEDINGS</w:t>
      </w:r>
    </w:p>
    <w:p>
      <w:pPr>
        <w:spacing w:after="0" w:line="244" w:lineRule="exact"/>
        <w:rPr>
          <w:sz w:val="20"/>
          <w:szCs w:val="20"/>
          <w:color w:val="auto"/>
        </w:rPr>
      </w:pPr>
    </w:p>
    <w:p>
      <w:pPr>
        <w:ind w:right="520"/>
        <w:spacing w:after="0" w:line="241" w:lineRule="auto"/>
        <w:rPr>
          <w:sz w:val="20"/>
          <w:szCs w:val="20"/>
          <w:color w:val="auto"/>
        </w:rPr>
      </w:pPr>
      <w:r>
        <w:rPr>
          <w:rFonts w:ascii="Arial" w:cs="Arial" w:eastAsia="Arial" w:hAnsi="Arial"/>
          <w:sz w:val="14"/>
          <w:szCs w:val="14"/>
          <w:color w:val="auto"/>
        </w:rPr>
        <w:t>There are no pending legal proceedings, other than litigation incidental to the ordinary business of the Corporation or its subsidiaries, of a material nature to which the Corporation or any of its subsidiaries is a party or to which any of their properties is subject. Further, there are no material legal proceedings in which any director, officer,</w:t>
      </w:r>
    </w:p>
    <w:p>
      <w:pPr>
        <w:spacing w:after="0" w:line="1"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principal shareholder, or affiliate of the Corporation, or any associate of any such director, officer or principal shareholder, is a party, or has a material interest, adverse to the Corporation or its subsidiaries.</w:t>
      </w:r>
    </w:p>
    <w:p>
      <w:pPr>
        <w:spacing w:after="0" w:line="212"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color w:val="auto"/>
        </w:rPr>
        <w:t>None of the routine legal proceedings, individually or in the aggregate, in which the Corporation or its affiliates are involved are expected to have a material adverse impact on the consolidated financial position, results of operations and cash flows of the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1A. RISK FACTORS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to the risk factors previously disclosed in the Corporation’s Annual Report on Form 10-K for the year ended December 31, 2025.</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2. UNREGISTERED SALES OF EQUITY SECURITIES AND USE OF PROCEEDS</w:t>
      </w:r>
    </w:p>
    <w:p>
      <w:pPr>
        <w:spacing w:after="0" w:line="258" w:lineRule="exact"/>
        <w:rPr>
          <w:sz w:val="20"/>
          <w:szCs w:val="20"/>
          <w:color w:val="auto"/>
        </w:rPr>
      </w:pPr>
    </w:p>
    <w:p>
      <w:pPr>
        <w:ind w:left="700" w:hanging="166"/>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None</w:t>
      </w:r>
    </w:p>
    <w:p>
      <w:pPr>
        <w:spacing w:after="0" w:line="257" w:lineRule="exact"/>
        <w:rPr>
          <w:rFonts w:ascii="Arial" w:cs="Arial" w:eastAsia="Arial" w:hAnsi="Arial"/>
          <w:sz w:val="14"/>
          <w:szCs w:val="14"/>
          <w:color w:val="auto"/>
        </w:rPr>
      </w:pPr>
    </w:p>
    <w:p>
      <w:pPr>
        <w:ind w:left="700" w:hanging="166"/>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None</w:t>
      </w:r>
    </w:p>
    <w:p>
      <w:pPr>
        <w:spacing w:after="0" w:line="257" w:lineRule="exact"/>
        <w:rPr>
          <w:rFonts w:ascii="Arial" w:cs="Arial" w:eastAsia="Arial" w:hAnsi="Arial"/>
          <w:sz w:val="14"/>
          <w:szCs w:val="14"/>
          <w:color w:val="auto"/>
        </w:rPr>
      </w:pPr>
    </w:p>
    <w:p>
      <w:pPr>
        <w:ind w:left="680" w:hanging="146"/>
        <w:spacing w:after="0"/>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Issuer Purchases of Equity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information relating to our purchases of equity securities during the three months ended September 30,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5"/>
              </w:rPr>
              <w:t>Total Number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Average</w:t>
            </w:r>
          </w:p>
        </w:tc>
        <w:tc>
          <w:tcPr>
            <w:tcW w:w="1880" w:type="dxa"/>
            <w:vAlign w:val="bottom"/>
          </w:tcPr>
          <w:p>
            <w:pPr>
              <w:jc w:val="center"/>
              <w:spacing w:after="0"/>
              <w:rPr>
                <w:sz w:val="20"/>
                <w:szCs w:val="20"/>
                <w:color w:val="auto"/>
              </w:rPr>
            </w:pPr>
            <w:r>
              <w:rPr>
                <w:rFonts w:ascii="Arial" w:cs="Arial" w:eastAsia="Arial" w:hAnsi="Arial"/>
                <w:sz w:val="11"/>
                <w:szCs w:val="11"/>
                <w:b w:val="1"/>
                <w:bCs w:val="1"/>
                <w:color w:val="auto"/>
                <w:w w:val="96"/>
              </w:rPr>
              <w:t>Total Number of Shares</w:t>
            </w:r>
          </w:p>
        </w:tc>
        <w:tc>
          <w:tcPr>
            <w:tcW w:w="10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1"/>
                <w:szCs w:val="11"/>
                <w:b w:val="1"/>
                <w:bCs w:val="1"/>
                <w:color w:val="auto"/>
                <w:w w:val="98"/>
              </w:rPr>
              <w:t>Maximum Number of Shares</w:t>
            </w:r>
          </w:p>
        </w:tc>
        <w:tc>
          <w:tcPr>
            <w:tcW w:w="0" w:type="dxa"/>
            <w:vAlign w:val="bottom"/>
          </w:tcPr>
          <w:p>
            <w:pPr>
              <w:spacing w:after="0"/>
              <w:rPr>
                <w:sz w:val="1"/>
                <w:szCs w:val="1"/>
                <w:color w:val="auto"/>
              </w:rPr>
            </w:pPr>
          </w:p>
        </w:tc>
      </w:tr>
      <w:tr>
        <w:trPr>
          <w:trHeight w:val="108"/>
        </w:trPr>
        <w:tc>
          <w:tcPr>
            <w:tcW w:w="4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Period</w:t>
            </w:r>
          </w:p>
        </w:tc>
        <w:tc>
          <w:tcPr>
            <w:tcW w:w="100" w:type="dxa"/>
            <w:vAlign w:val="bottom"/>
            <w:vMerge w:val="restart"/>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5"/>
              </w:rPr>
              <w:t>of Shares</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rPr>
              <w:t>Price Paid</w:t>
            </w:r>
          </w:p>
        </w:tc>
        <w:tc>
          <w:tcPr>
            <w:tcW w:w="18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Purchased as Part of Publicly</w:t>
            </w:r>
          </w:p>
        </w:tc>
        <w:tc>
          <w:tcPr>
            <w:tcW w:w="100" w:type="dxa"/>
            <w:vAlign w:val="bottom"/>
          </w:tcPr>
          <w:p>
            <w:pPr>
              <w:spacing w:after="0"/>
              <w:rPr>
                <w:sz w:val="9"/>
                <w:szCs w:val="9"/>
                <w:color w:val="auto"/>
              </w:rPr>
            </w:pPr>
          </w:p>
        </w:tc>
        <w:tc>
          <w:tcPr>
            <w:tcW w:w="18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that may yet be Purchased</w:t>
            </w:r>
          </w:p>
        </w:tc>
        <w:tc>
          <w:tcPr>
            <w:tcW w:w="0" w:type="dxa"/>
            <w:vAlign w:val="bottom"/>
          </w:tcPr>
          <w:p>
            <w:pPr>
              <w:spacing w:after="0"/>
              <w:rPr>
                <w:sz w:val="1"/>
                <w:szCs w:val="1"/>
                <w:color w:val="auto"/>
              </w:rPr>
            </w:pPr>
          </w:p>
        </w:tc>
      </w:tr>
      <w:tr>
        <w:trPr>
          <w:trHeight w:val="162"/>
        </w:trPr>
        <w:tc>
          <w:tcPr>
            <w:tcW w:w="4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 xml:space="preserve">Purchased </w:t>
            </w:r>
            <w:r>
              <w:rPr>
                <w:rFonts w:ascii="Arial" w:cs="Arial" w:eastAsia="Arial" w:hAnsi="Arial"/>
                <w:sz w:val="14"/>
                <w:szCs w:val="14"/>
                <w:b w:val="1"/>
                <w:bCs w:val="1"/>
                <w:color w:val="auto"/>
                <w:w w:val="96"/>
                <w:vertAlign w:val="superscript"/>
              </w:rPr>
              <w:t>(1)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8"/>
              </w:rPr>
              <w:t>per Share</w:t>
            </w: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 xml:space="preserve">Announced Plans or Programs </w:t>
            </w:r>
            <w:r>
              <w:rPr>
                <w:rFonts w:ascii="Arial" w:cs="Arial" w:eastAsia="Arial" w:hAnsi="Arial"/>
                <w:sz w:val="14"/>
                <w:szCs w:val="14"/>
                <w:b w:val="1"/>
                <w:bCs w:val="1"/>
                <w:color w:val="auto"/>
                <w:w w:val="96"/>
                <w:vertAlign w:val="superscript"/>
              </w:rPr>
              <w:t>(2)</w:t>
            </w: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 xml:space="preserve">Under the Plans or Programs </w:t>
            </w:r>
            <w:r>
              <w:rPr>
                <w:rFonts w:ascii="Arial" w:cs="Arial" w:eastAsia="Arial" w:hAnsi="Arial"/>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135"/>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July, 2026</w:t>
            </w:r>
          </w:p>
        </w:tc>
        <w:tc>
          <w:tcPr>
            <w:tcW w:w="12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422</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43.13</w:t>
            </w:r>
          </w:p>
        </w:tc>
        <w:tc>
          <w:tcPr>
            <w:tcW w:w="100" w:type="dxa"/>
            <w:vAlign w:val="bottom"/>
            <w:tcBorders>
              <w:bottom w:val="single" w:sz="8" w:color="CCEEFF"/>
            </w:tcBorders>
            <w:shd w:val="clear" w:color="auto" w:fill="CCEEFF"/>
          </w:tcPr>
          <w:p>
            <w:pPr>
              <w:spacing w:after="0"/>
              <w:rPr>
                <w:sz w:val="11"/>
                <w:szCs w:val="11"/>
                <w:color w:val="auto"/>
              </w:rPr>
            </w:pPr>
          </w:p>
        </w:tc>
        <w:tc>
          <w:tcPr>
            <w:tcW w:w="1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9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3,125,000</w:t>
            </w:r>
          </w:p>
        </w:tc>
        <w:tc>
          <w:tcPr>
            <w:tcW w:w="0" w:type="dxa"/>
            <w:vAlign w:val="bottom"/>
          </w:tcPr>
          <w:p>
            <w:pPr>
              <w:spacing w:after="0"/>
              <w:rPr>
                <w:sz w:val="1"/>
                <w:szCs w:val="1"/>
                <w:color w:val="auto"/>
              </w:rPr>
            </w:pPr>
          </w:p>
        </w:tc>
      </w:tr>
      <w:tr>
        <w:trPr>
          <w:trHeight w:val="142"/>
        </w:trPr>
        <w:tc>
          <w:tcPr>
            <w:tcW w:w="4760" w:type="dxa"/>
            <w:vAlign w:val="bottom"/>
            <w:gridSpan w:val="2"/>
          </w:tcPr>
          <w:p>
            <w:pPr>
              <w:ind w:left="20"/>
              <w:spacing w:after="0"/>
              <w:rPr>
                <w:sz w:val="20"/>
                <w:szCs w:val="20"/>
                <w:color w:val="auto"/>
              </w:rPr>
            </w:pPr>
            <w:r>
              <w:rPr>
                <w:rFonts w:ascii="Arial" w:cs="Arial" w:eastAsia="Arial" w:hAnsi="Arial"/>
                <w:sz w:val="11"/>
                <w:szCs w:val="11"/>
                <w:color w:val="auto"/>
              </w:rPr>
              <w:t>August, 2026</w:t>
            </w:r>
          </w:p>
        </w:tc>
        <w:tc>
          <w:tcPr>
            <w:tcW w:w="1200" w:type="dxa"/>
            <w:vAlign w:val="bottom"/>
          </w:tcPr>
          <w:p>
            <w:pPr>
              <w:jc w:val="right"/>
              <w:ind w:right="6"/>
              <w:spacing w:after="0"/>
              <w:rPr>
                <w:sz w:val="20"/>
                <w:szCs w:val="20"/>
                <w:color w:val="auto"/>
              </w:rPr>
            </w:pPr>
            <w:r>
              <w:rPr>
                <w:rFonts w:ascii="Arial" w:cs="Arial" w:eastAsia="Arial" w:hAnsi="Arial"/>
                <w:sz w:val="11"/>
                <w:szCs w:val="11"/>
                <w:color w:val="auto"/>
              </w:rPr>
              <w:t>199,257</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42.08</w:t>
            </w:r>
          </w:p>
        </w:tc>
        <w:tc>
          <w:tcPr>
            <w:tcW w:w="100" w:type="dxa"/>
            <w:vAlign w:val="bottom"/>
          </w:tcPr>
          <w:p>
            <w:pPr>
              <w:spacing w:after="0"/>
              <w:rPr>
                <w:sz w:val="12"/>
                <w:szCs w:val="12"/>
                <w:color w:val="auto"/>
              </w:rPr>
            </w:pPr>
          </w:p>
        </w:tc>
        <w:tc>
          <w:tcPr>
            <w:tcW w:w="1880" w:type="dxa"/>
            <w:vAlign w:val="bottom"/>
          </w:tcPr>
          <w:p>
            <w:pPr>
              <w:jc w:val="right"/>
              <w:ind w:right="6"/>
              <w:spacing w:after="0"/>
              <w:rPr>
                <w:sz w:val="20"/>
                <w:szCs w:val="20"/>
                <w:color w:val="auto"/>
              </w:rPr>
            </w:pPr>
            <w:r>
              <w:rPr>
                <w:rFonts w:ascii="Arial" w:cs="Arial" w:eastAsia="Arial" w:hAnsi="Arial"/>
                <w:sz w:val="11"/>
                <w:szCs w:val="11"/>
                <w:color w:val="auto"/>
              </w:rPr>
              <w:t>159,219</w:t>
            </w:r>
          </w:p>
        </w:tc>
        <w:tc>
          <w:tcPr>
            <w:tcW w:w="1980" w:type="dxa"/>
            <w:vAlign w:val="bottom"/>
            <w:gridSpan w:val="2"/>
          </w:tcPr>
          <w:p>
            <w:pPr>
              <w:jc w:val="right"/>
              <w:ind w:right="6"/>
              <w:spacing w:after="0"/>
              <w:rPr>
                <w:sz w:val="20"/>
                <w:szCs w:val="20"/>
                <w:color w:val="auto"/>
              </w:rPr>
            </w:pPr>
            <w:r>
              <w:rPr>
                <w:rFonts w:ascii="Arial" w:cs="Arial" w:eastAsia="Arial" w:hAnsi="Arial"/>
                <w:sz w:val="11"/>
                <w:szCs w:val="11"/>
                <w:color w:val="auto"/>
              </w:rPr>
              <w:t>2,965,781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September, 2026</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128,212</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41.74</w:t>
            </w:r>
          </w:p>
        </w:tc>
        <w:tc>
          <w:tcPr>
            <w:tcW w:w="10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128,212</w:t>
            </w:r>
          </w:p>
        </w:tc>
        <w:tc>
          <w:tcPr>
            <w:tcW w:w="198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2,837,569</w:t>
            </w:r>
          </w:p>
        </w:tc>
        <w:tc>
          <w:tcPr>
            <w:tcW w:w="0" w:type="dxa"/>
            <w:vAlign w:val="bottom"/>
          </w:tcPr>
          <w:p>
            <w:pPr>
              <w:spacing w:after="0"/>
              <w:rPr>
                <w:sz w:val="1"/>
                <w:szCs w:val="1"/>
                <w:color w:val="auto"/>
              </w:rPr>
            </w:pPr>
          </w:p>
        </w:tc>
      </w:tr>
      <w:tr>
        <w:trPr>
          <w:trHeight w:val="162"/>
        </w:trPr>
        <w:tc>
          <w:tcPr>
            <w:tcW w:w="4760" w:type="dxa"/>
            <w:vAlign w:val="bottom"/>
            <w:gridSpan w:val="2"/>
          </w:tcPr>
          <w:p>
            <w:pPr>
              <w:ind w:left="360"/>
              <w:spacing w:after="0"/>
              <w:rPr>
                <w:sz w:val="20"/>
                <w:szCs w:val="20"/>
                <w:color w:val="auto"/>
              </w:rPr>
            </w:pPr>
            <w:r>
              <w:rPr>
                <w:rFonts w:ascii="Arial" w:cs="Arial" w:eastAsia="Arial" w:hAnsi="Arial"/>
                <w:sz w:val="11"/>
                <w:szCs w:val="11"/>
                <w:color w:val="auto"/>
              </w:rPr>
              <w:t>Total</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327,891</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41.95</w:t>
            </w:r>
          </w:p>
        </w:tc>
        <w:tc>
          <w:tcPr>
            <w:tcW w:w="100" w:type="dxa"/>
            <w:vAlign w:val="bottom"/>
          </w:tcPr>
          <w:p>
            <w:pPr>
              <w:spacing w:after="0"/>
              <w:rPr>
                <w:sz w:val="14"/>
                <w:szCs w:val="14"/>
                <w:color w:val="auto"/>
              </w:rPr>
            </w:pPr>
          </w:p>
        </w:tc>
        <w:tc>
          <w:tcPr>
            <w:tcW w:w="1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287,431</w:t>
            </w: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40" w:firstLine="8"/>
        <w:spacing w:after="0" w:line="630" w:lineRule="auto"/>
        <w:tabs>
          <w:tab w:leader="none" w:pos="105" w:val="left"/>
        </w:tabs>
        <w:numPr>
          <w:ilvl w:val="0"/>
          <w:numId w:val="17"/>
        </w:numPr>
        <w:rPr>
          <w:rFonts w:ascii="Arial" w:cs="Arial" w:eastAsia="Arial" w:hAnsi="Arial"/>
          <w:sz w:val="11"/>
          <w:szCs w:val="11"/>
          <w:color w:val="auto"/>
          <w:vertAlign w:val="superscript"/>
        </w:rPr>
      </w:pPr>
      <w:r>
        <w:rPr>
          <w:rFonts w:ascii="Arial" w:cs="Arial" w:eastAsia="Arial" w:hAnsi="Arial"/>
          <w:sz w:val="9"/>
          <w:szCs w:val="9"/>
          <w:color w:val="auto"/>
        </w:rPr>
        <w:t>During the three months ended September 30, 2026, there were 287,431 shares repurchased pursuant to the Corporation's share repurchase program described in note (2) below. The amounts in July 2026 and August 2026 include 422 and 40,038 shares, respectively, repurchased pursuant to net settlement by employees in satisfaction of income tax withholding obligations incurred through the vesting of the Corporation's restricted stock awards and are not a part of the Corporation's share repurchase program described in note (2) below.</w:t>
      </w:r>
    </w:p>
    <w:p>
      <w:pPr>
        <w:spacing w:after="0" w:line="17" w:lineRule="exact"/>
        <w:rPr>
          <w:rFonts w:ascii="Arial" w:cs="Arial" w:eastAsia="Arial" w:hAnsi="Arial"/>
          <w:sz w:val="11"/>
          <w:szCs w:val="11"/>
          <w:color w:val="auto"/>
          <w:vertAlign w:val="superscript"/>
        </w:rPr>
      </w:pPr>
    </w:p>
    <w:p>
      <w:pPr>
        <w:ind w:right="80" w:firstLine="8"/>
        <w:spacing w:after="0" w:line="257" w:lineRule="auto"/>
        <w:tabs>
          <w:tab w:leader="none" w:pos="115" w:val="left"/>
        </w:tabs>
        <w:numPr>
          <w:ilvl w:val="0"/>
          <w:numId w:val="17"/>
        </w:numPr>
        <w:rPr>
          <w:rFonts w:ascii="Arial" w:cs="Arial" w:eastAsia="Arial" w:hAnsi="Arial"/>
          <w:sz w:val="7"/>
          <w:szCs w:val="7"/>
          <w:color w:val="auto"/>
        </w:rPr>
      </w:pPr>
      <w:r>
        <w:rPr>
          <w:rFonts w:ascii="Arial" w:cs="Arial" w:eastAsia="Arial" w:hAnsi="Arial"/>
          <w:sz w:val="11"/>
          <w:szCs w:val="11"/>
          <w:color w:val="auto"/>
        </w:rPr>
        <w:t>On June 24, 2026, the Board of Directors of the Corporation approved a stock repurchase program of up to 3,125,000 shares of the Corporation's outstanding common stock; provided, however, that the total aggregate investment in shares repurchased under the program may not exceed $100,000,000. The program does not have an expiration date. However, it may be discontinued by the Board at any time. Since commencing the program, the Corporation has repurchased a total of 287,431 shares of common stock for a total aggregate investment of $12.0 million.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3. DEFAULTS UPON SENIOR SECURITIES</w:t>
      </w:r>
    </w:p>
    <w:p>
      <w:pPr>
        <w:spacing w:after="0" w:line="25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4. MINE SAFETY DISCLOSURES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ITEM 5. OTHER INFORMATION</w:t>
      </w:r>
    </w:p>
    <w:p>
      <w:pPr>
        <w:spacing w:after="0" w:line="258"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None</w:t>
      </w:r>
    </w:p>
    <w:p>
      <w:pPr>
        <w:spacing w:after="0" w:line="257" w:lineRule="exact"/>
        <w:rPr>
          <w:rFonts w:ascii="Arial" w:cs="Arial" w:eastAsia="Arial" w:hAnsi="Arial"/>
          <w:sz w:val="14"/>
          <w:szCs w:val="14"/>
          <w:color w:val="auto"/>
        </w:rPr>
      </w:pPr>
    </w:p>
    <w:p>
      <w:pPr>
        <w:ind w:left="660" w:hanging="166"/>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None</w:t>
      </w:r>
    </w:p>
    <w:p>
      <w:pPr>
        <w:spacing w:after="0" w:line="257" w:lineRule="exact"/>
        <w:rPr>
          <w:rFonts w:ascii="Arial" w:cs="Arial" w:eastAsia="Arial" w:hAnsi="Arial"/>
          <w:sz w:val="14"/>
          <w:szCs w:val="14"/>
          <w:color w:val="auto"/>
        </w:rPr>
      </w:pPr>
    </w:p>
    <w:p>
      <w:pPr>
        <w:ind w:right="40" w:firstLine="494"/>
        <w:spacing w:after="0" w:line="285" w:lineRule="auto"/>
        <w:tabs>
          <w:tab w:leader="none" w:pos="638"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the three months ended September 30, 2026, no director or officer of the Corporation adopted or terminated a "Rule 10b5-1 trading arrangement" or "non-Rule 10b5-1 trading arrangement," as each term is defined in Item 408(a) of Regulation S-K.</w:t>
      </w:r>
    </w:p>
    <w:p>
      <w:pPr>
        <w:sectPr>
          <w:pgSz w:w="11900" w:h="16838" w:orient="portrait"/>
          <w:cols w:equalWidth="0" w:num="1">
            <w:col w:w="11240"/>
          </w:cols>
          <w:pgMar w:left="320" w:top="3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type w:val="continuous"/>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PART II: OTHER INFORMATION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6. EXHIBITS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85"/>
        </w:trPr>
        <w:tc>
          <w:tcPr>
            <w:tcW w:w="1520" w:type="dxa"/>
            <w:vAlign w:val="bottom"/>
            <w:gridSpan w:val="2"/>
          </w:tcPr>
          <w:p>
            <w:pPr>
              <w:ind w:left="20"/>
              <w:spacing w:after="0"/>
              <w:rPr>
                <w:sz w:val="20"/>
                <w:szCs w:val="20"/>
                <w:color w:val="auto"/>
              </w:rPr>
            </w:pPr>
            <w:r>
              <w:rPr>
                <w:rFonts w:ascii="Arial" w:cs="Arial" w:eastAsia="Arial" w:hAnsi="Arial"/>
                <w:sz w:val="14"/>
                <w:szCs w:val="14"/>
                <w:color w:val="auto"/>
              </w:rPr>
              <w:t>Exhibit No:</w:t>
            </w:r>
          </w:p>
        </w:tc>
        <w:tc>
          <w:tcPr>
            <w:tcW w:w="9700" w:type="dxa"/>
            <w:vAlign w:val="bottom"/>
            <w:gridSpan w:val="32"/>
          </w:tcPr>
          <w:p>
            <w:pPr>
              <w:spacing w:after="0"/>
              <w:rPr>
                <w:sz w:val="20"/>
                <w:szCs w:val="20"/>
                <w:color w:val="auto"/>
              </w:rPr>
            </w:pPr>
            <w:r>
              <w:rPr>
                <w:rFonts w:ascii="Arial" w:cs="Arial" w:eastAsia="Arial" w:hAnsi="Arial"/>
                <w:sz w:val="14"/>
                <w:szCs w:val="14"/>
                <w:color w:val="auto"/>
              </w:rPr>
              <w:t>Description of Exhibits:</w:t>
            </w:r>
          </w:p>
        </w:tc>
      </w:tr>
      <w:tr>
        <w:trPr>
          <w:trHeight w:val="224"/>
        </w:trPr>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85">
              <w:r>
                <w:rPr>
                  <w:rFonts w:ascii="Arial" w:cs="Arial" w:eastAsia="Arial" w:hAnsi="Arial"/>
                  <w:sz w:val="14"/>
                  <w:szCs w:val="14"/>
                  <w:color w:val="0000FF"/>
                </w:rPr>
                <w:t>Agreement and Plan of Merger between First Merchants Corporation and First Savings Financial Group, Inc. dated September 24, 2025 (Incorporated</w:t>
              </w:r>
            </w:hyperlink>
          </w:p>
        </w:tc>
      </w:tr>
      <w:tr>
        <w:trPr>
          <w:trHeight w:val="136"/>
        </w:trPr>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6520" w:type="dxa"/>
            <w:vAlign w:val="bottom"/>
            <w:tcBorders>
              <w:top w:val="single" w:sz="8" w:color="0000FF"/>
              <w:bottom w:val="single" w:sz="8" w:color="0000FF"/>
            </w:tcBorders>
            <w:gridSpan w:val="11"/>
            <w:shd w:val="clear" w:color="auto" w:fill="CCEEFF"/>
          </w:tcPr>
          <w:p>
            <w:pPr>
              <w:spacing w:after="0" w:line="129" w:lineRule="exact"/>
              <w:rPr>
                <w:rFonts w:ascii="Arial" w:cs="Arial" w:eastAsia="Arial" w:hAnsi="Arial"/>
                <w:sz w:val="14"/>
                <w:szCs w:val="14"/>
                <w:color w:val="0000FF"/>
              </w:rPr>
            </w:pPr>
            <w:hyperlink r:id="rId85">
              <w:r>
                <w:rPr>
                  <w:rFonts w:ascii="Arial" w:cs="Arial" w:eastAsia="Arial" w:hAnsi="Arial"/>
                  <w:sz w:val="14"/>
                  <w:szCs w:val="14"/>
                  <w:color w:val="0000FF"/>
                </w:rPr>
                <w:t>by reference to Exhibit 2.1 of registrant's Form 8-K filed on September 25, 2025) (SEC No. 001-41342)</w:t>
              </w:r>
            </w:hyperlink>
          </w:p>
        </w:tc>
        <w:tc>
          <w:tcPr>
            <w:tcW w:w="3020" w:type="dxa"/>
            <w:vAlign w:val="bottom"/>
            <w:tcBorders>
              <w:top w:val="single" w:sz="8" w:color="0000FF"/>
              <w:bottom w:val="single" w:sz="8" w:color="CCEEFF"/>
            </w:tcBorders>
            <w:gridSpan w:val="1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4"/>
                <w:szCs w:val="14"/>
                <w:color w:val="auto"/>
              </w:rPr>
            </w:pPr>
          </w:p>
        </w:tc>
        <w:tc>
          <w:tcPr>
            <w:tcW w:w="9700" w:type="dxa"/>
            <w:vAlign w:val="bottom"/>
            <w:gridSpan w:val="32"/>
          </w:tcPr>
          <w:p>
            <w:pPr>
              <w:spacing w:after="0"/>
              <w:rPr>
                <w:rFonts w:ascii="Arial" w:cs="Arial" w:eastAsia="Arial" w:hAnsi="Arial"/>
                <w:sz w:val="14"/>
                <w:szCs w:val="14"/>
                <w:color w:val="0000FF"/>
              </w:rPr>
            </w:pPr>
            <w:hyperlink r:id="rId86">
              <w:r>
                <w:rPr>
                  <w:rFonts w:ascii="Arial" w:cs="Arial" w:eastAsia="Arial" w:hAnsi="Arial"/>
                  <w:sz w:val="14"/>
                  <w:szCs w:val="14"/>
                  <w:color w:val="0000FF"/>
                </w:rPr>
                <w:t>First Merchants Corporation Articles of Incorporation, as amended (Incorporated by reference to Exhibit 3.1 of registrant’s Form 8-K filed on May 22,</w:t>
              </w:r>
            </w:hyperlink>
          </w:p>
        </w:tc>
      </w:tr>
      <w:tr>
        <w:trPr>
          <w:trHeight w:val="129"/>
        </w:trPr>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2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86">
              <w:r>
                <w:rPr>
                  <w:rFonts w:ascii="Arial" w:cs="Arial" w:eastAsia="Arial" w:hAnsi="Arial"/>
                  <w:sz w:val="14"/>
                  <w:szCs w:val="14"/>
                  <w:color w:val="0000FF"/>
                </w:rPr>
                <w:t>2024) (SEC No. 001-41342)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87">
              <w:r>
                <w:rPr>
                  <w:rFonts w:ascii="Arial" w:cs="Arial" w:eastAsia="Arial" w:hAnsi="Arial"/>
                  <w:sz w:val="14"/>
                  <w:szCs w:val="14"/>
                  <w:color w:val="0000FF"/>
                </w:rPr>
                <w:t>Bylaws of First Merchants Corporation effective as of May 20, 2024 (Incorporated by reference to Exhibit 3.2 of registrant’s Form 8-K filed on May 22,</w:t>
              </w:r>
            </w:hyperlink>
          </w:p>
        </w:tc>
      </w:tr>
      <w:tr>
        <w:trPr>
          <w:trHeight w:val="129"/>
        </w:trPr>
        <w:tc>
          <w:tcPr>
            <w:tcW w:w="1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500" w:type="dxa"/>
            <w:vAlign w:val="bottom"/>
            <w:tcBorders>
              <w:top w:val="single" w:sz="8" w:color="0000FF"/>
            </w:tcBorders>
            <w:gridSpan w:val="24"/>
            <w:shd w:val="clear" w:color="auto" w:fill="CCEEFF"/>
          </w:tcPr>
          <w:p>
            <w:pPr>
              <w:spacing w:after="0" w:line="129" w:lineRule="exact"/>
              <w:rPr>
                <w:rFonts w:ascii="Arial" w:cs="Arial" w:eastAsia="Arial" w:hAnsi="Arial"/>
                <w:sz w:val="14"/>
                <w:szCs w:val="14"/>
                <w:color w:val="0000FF"/>
              </w:rPr>
            </w:pPr>
            <w:hyperlink r:id="rId87">
              <w:r>
                <w:rPr>
                  <w:rFonts w:ascii="Arial" w:cs="Arial" w:eastAsia="Arial" w:hAnsi="Arial"/>
                  <w:sz w:val="14"/>
                  <w:szCs w:val="14"/>
                  <w:color w:val="0000FF"/>
                </w:rPr>
                <w:t>2024) (SEC No. 001-41342)</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27"/>
        </w:trPr>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4"/>
                <w:szCs w:val="14"/>
                <w:color w:val="auto"/>
              </w:rPr>
            </w:pPr>
          </w:p>
        </w:tc>
        <w:tc>
          <w:tcPr>
            <w:tcW w:w="9700" w:type="dxa"/>
            <w:vAlign w:val="bottom"/>
            <w:gridSpan w:val="32"/>
          </w:tcPr>
          <w:p>
            <w:pPr>
              <w:spacing w:after="0"/>
              <w:rPr>
                <w:rFonts w:ascii="Arial" w:cs="Arial" w:eastAsia="Arial" w:hAnsi="Arial"/>
                <w:sz w:val="14"/>
                <w:szCs w:val="14"/>
                <w:color w:val="0000FF"/>
              </w:rPr>
            </w:pPr>
            <w:hyperlink r:id="rId88">
              <w:r>
                <w:rPr>
                  <w:rFonts w:ascii="Arial" w:cs="Arial" w:eastAsia="Arial" w:hAnsi="Arial"/>
                  <w:sz w:val="14"/>
                  <w:szCs w:val="14"/>
                  <w:color w:val="0000FF"/>
                </w:rPr>
                <w:t>First Merchants Corporation Amended and Restated Declaration of Trust of First Merchants Capital Trust II dated as of July 2, 2007 (Incorporated by</w:t>
              </w:r>
            </w:hyperlink>
          </w:p>
        </w:tc>
      </w:tr>
      <w:tr>
        <w:trPr>
          <w:trHeight w:val="136"/>
        </w:trPr>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88">
              <w:r>
                <w:rPr>
                  <w:rFonts w:ascii="Arial" w:cs="Arial" w:eastAsia="Arial" w:hAnsi="Arial"/>
                  <w:sz w:val="14"/>
                  <w:szCs w:val="14"/>
                  <w:color w:val="0000FF"/>
                </w:rPr>
                <w:t>reference to Exhibit 4.1 of registrant's Form 8-K filed on July 3, 2007) (SEC No. 000-17071)</w:t>
              </w:r>
            </w:hyperlink>
          </w:p>
        </w:tc>
        <w:tc>
          <w:tcPr>
            <w:tcW w:w="366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88">
              <w:r>
                <w:rPr>
                  <w:rFonts w:ascii="Arial" w:cs="Arial" w:eastAsia="Arial" w:hAnsi="Arial"/>
                  <w:sz w:val="14"/>
                  <w:szCs w:val="14"/>
                  <w:color w:val="0000FF"/>
                </w:rPr>
                <w:t>Indenture dated as of July 2, 2007 (Incorporated by reference to Exhibit 4.2 of registrant's Form 8-K filed on July 3, 2007) (SEC No. 000-17071)</w:t>
              </w:r>
            </w:hyperlink>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14"/>
                <w:szCs w:val="14"/>
                <w:color w:val="auto"/>
              </w:rPr>
            </w:pPr>
          </w:p>
        </w:tc>
        <w:tc>
          <w:tcPr>
            <w:tcW w:w="9700" w:type="dxa"/>
            <w:vAlign w:val="bottom"/>
            <w:gridSpan w:val="32"/>
          </w:tcPr>
          <w:p>
            <w:pPr>
              <w:spacing w:after="0"/>
              <w:rPr>
                <w:rFonts w:ascii="Arial" w:cs="Arial" w:eastAsia="Arial" w:hAnsi="Arial"/>
                <w:sz w:val="14"/>
                <w:szCs w:val="14"/>
                <w:color w:val="0000FF"/>
              </w:rPr>
            </w:pPr>
            <w:hyperlink r:id="rId88">
              <w:r>
                <w:rPr>
                  <w:rFonts w:ascii="Arial" w:cs="Arial" w:eastAsia="Arial" w:hAnsi="Arial"/>
                  <w:sz w:val="14"/>
                  <w:szCs w:val="14"/>
                  <w:color w:val="0000FF"/>
                </w:rPr>
                <w:t>Guarantee Agreement dated as of July 2, 2007 (Incorporated by reference to Exhibit 4.3 of registrant's Form 8-K filed on July 3, 2007) (SEC No. 000-</w:t>
              </w:r>
            </w:hyperlink>
          </w:p>
        </w:tc>
      </w:tr>
      <w:tr>
        <w:trPr>
          <w:trHeight w:val="136"/>
        </w:trPr>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6"/>
              </w:rPr>
            </w:pPr>
            <w:hyperlink r:id="rId88">
              <w:r>
                <w:rPr>
                  <w:rFonts w:ascii="Arial" w:cs="Arial" w:eastAsia="Arial" w:hAnsi="Arial"/>
                  <w:sz w:val="14"/>
                  <w:szCs w:val="14"/>
                  <w:color w:val="0000FF"/>
                  <w:w w:val="96"/>
                </w:rPr>
                <w:t>17071)</w:t>
              </w:r>
            </w:hyperlink>
          </w:p>
        </w:tc>
        <w:tc>
          <w:tcPr>
            <w:tcW w:w="280" w:type="dxa"/>
            <w:vAlign w:val="bottom"/>
            <w:tcBorders>
              <w:top w:val="single" w:sz="8" w:color="0000FF"/>
            </w:tcBorders>
          </w:tcPr>
          <w:p>
            <w:pPr>
              <w:spacing w:after="0"/>
              <w:rPr>
                <w:sz w:val="11"/>
                <w:szCs w:val="11"/>
                <w:color w:val="auto"/>
              </w:rPr>
            </w:pPr>
          </w:p>
        </w:tc>
        <w:tc>
          <w:tcPr>
            <w:tcW w:w="10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90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4.4</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88">
              <w:r>
                <w:rPr>
                  <w:rFonts w:ascii="Arial" w:cs="Arial" w:eastAsia="Arial" w:hAnsi="Arial"/>
                  <w:sz w:val="14"/>
                  <w:szCs w:val="14"/>
                  <w:color w:val="0000FF"/>
                </w:rPr>
                <w:t>Form of Capital Securities Certification of First Merchants Capital Trust II (Incorporated by reference to Exhibit 4.4 of registrant's Form 8-K filed on July</w:t>
              </w:r>
            </w:hyperlink>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560" w:type="dxa"/>
            <w:vAlign w:val="bottom"/>
            <w:tcBorders>
              <w:top w:val="single" w:sz="8" w:color="0000FF"/>
            </w:tcBorders>
            <w:gridSpan w:val="27"/>
            <w:shd w:val="clear" w:color="auto" w:fill="CCEEFF"/>
          </w:tcPr>
          <w:p>
            <w:pPr>
              <w:spacing w:after="0" w:line="129" w:lineRule="exact"/>
              <w:rPr>
                <w:rFonts w:ascii="Arial" w:cs="Arial" w:eastAsia="Arial" w:hAnsi="Arial"/>
                <w:sz w:val="14"/>
                <w:szCs w:val="14"/>
                <w:color w:val="0000FF"/>
              </w:rPr>
            </w:pPr>
            <w:hyperlink r:id="rId88">
              <w:r>
                <w:rPr>
                  <w:rFonts w:ascii="Arial" w:cs="Arial" w:eastAsia="Arial" w:hAnsi="Arial"/>
                  <w:sz w:val="14"/>
                  <w:szCs w:val="14"/>
                  <w:color w:val="0000FF"/>
                </w:rPr>
                <w:t>3, 2007) (SEC No. 000-17071)</w:t>
              </w:r>
            </w:hyperlink>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27"/>
        </w:trPr>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4"/>
                <w:szCs w:val="14"/>
                <w:color w:val="auto"/>
              </w:rPr>
            </w:pPr>
          </w:p>
        </w:tc>
        <w:tc>
          <w:tcPr>
            <w:tcW w:w="9700" w:type="dxa"/>
            <w:vAlign w:val="bottom"/>
            <w:gridSpan w:val="32"/>
          </w:tcPr>
          <w:p>
            <w:pPr>
              <w:spacing w:after="0"/>
              <w:rPr>
                <w:rFonts w:ascii="Arial" w:cs="Arial" w:eastAsia="Arial" w:hAnsi="Arial"/>
                <w:sz w:val="14"/>
                <w:szCs w:val="14"/>
                <w:color w:val="0000FF"/>
              </w:rPr>
            </w:pPr>
            <w:hyperlink r:id="rId89">
              <w:r>
                <w:rPr>
                  <w:rFonts w:ascii="Arial" w:cs="Arial" w:eastAsia="Arial" w:hAnsi="Arial"/>
                  <w:sz w:val="14"/>
                  <w:szCs w:val="14"/>
                  <w:color w:val="0000FF"/>
                </w:rPr>
                <w:t>First Merchants Corporation Dividend Reinvestment and Stock Purchase Plan (Incorporated by reference to registrant’s Prospectus filed pursuant to</w:t>
              </w:r>
            </w:hyperlink>
          </w:p>
        </w:tc>
      </w:tr>
      <w:tr>
        <w:trPr>
          <w:trHeight w:val="128"/>
        </w:trPr>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4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89">
              <w:r>
                <w:rPr>
                  <w:rFonts w:ascii="Arial" w:cs="Arial" w:eastAsia="Arial" w:hAnsi="Arial"/>
                  <w:sz w:val="14"/>
                  <w:szCs w:val="14"/>
                  <w:color w:val="0000FF"/>
                </w:rPr>
                <w:t>Rule 424(b)(3) on July 17, 2020) (SEC No. 333-229527)</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4.6</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90">
              <w:r>
                <w:rPr>
                  <w:rFonts w:ascii="Arial" w:cs="Arial" w:eastAsia="Arial" w:hAnsi="Arial"/>
                  <w:sz w:val="14"/>
                  <w:szCs w:val="14"/>
                  <w:color w:val="0000FF"/>
                </w:rPr>
                <w:t>Deposit Agreement by and among First Merchants Corporation, Broadridge Corporate Issuer Solutions, Inc., as depositary, and holders from time to</w:t>
              </w:r>
            </w:hyperlink>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00" w:type="dxa"/>
            <w:vAlign w:val="bottom"/>
            <w:tcBorders>
              <w:top w:val="single" w:sz="8" w:color="0000FF"/>
            </w:tcBorders>
            <w:gridSpan w:val="19"/>
            <w:shd w:val="clear" w:color="auto" w:fill="CCEEFF"/>
          </w:tcPr>
          <w:p>
            <w:pPr>
              <w:spacing w:after="0" w:line="129" w:lineRule="exact"/>
              <w:rPr>
                <w:rFonts w:ascii="Arial" w:cs="Arial" w:eastAsia="Arial" w:hAnsi="Arial"/>
                <w:sz w:val="14"/>
                <w:szCs w:val="14"/>
                <w:color w:val="0000FF"/>
              </w:rPr>
            </w:pPr>
            <w:hyperlink r:id="rId90">
              <w:r>
                <w:rPr>
                  <w:rFonts w:ascii="Arial" w:cs="Arial" w:eastAsia="Arial" w:hAnsi="Arial"/>
                  <w:sz w:val="14"/>
                  <w:szCs w:val="14"/>
                  <w:color w:val="0000FF"/>
                </w:rPr>
                <w:t>time of the depositary receipts described therein, as amended on March 30, 2022 (Incorporated by reference to Exhibit 4.1 of registrant’s Form 8-A</w:t>
              </w:r>
            </w:hyperlink>
          </w:p>
        </w:tc>
        <w:tc>
          <w:tcPr>
            <w:tcW w:w="300" w:type="dxa"/>
            <w:vAlign w:val="bottom"/>
            <w:tcBorders>
              <w:top w:val="single" w:sz="8" w:color="CCEEFF"/>
            </w:tcBorders>
            <w:gridSpan w:val="13"/>
            <w:shd w:val="clear" w:color="auto" w:fill="CCEEFF"/>
          </w:tcPr>
          <w:p>
            <w:pPr>
              <w:spacing w:after="0" w:line="129" w:lineRule="exact"/>
              <w:rPr>
                <w:rFonts w:ascii="Arial" w:cs="Arial" w:eastAsia="Arial" w:hAnsi="Arial"/>
                <w:sz w:val="14"/>
                <w:szCs w:val="14"/>
                <w:color w:val="0000FF"/>
              </w:rPr>
            </w:pPr>
            <w:hyperlink r:id="rId90">
              <w:r>
                <w:rPr>
                  <w:rFonts w:ascii="Arial" w:cs="Arial" w:eastAsia="Arial" w:hAnsi="Arial"/>
                  <w:sz w:val="14"/>
                  <w:szCs w:val="14"/>
                  <w:color w:val="0000FF"/>
                </w:rPr>
                <w:t>filed</w:t>
              </w:r>
            </w:hyperlink>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620" w:type="dxa"/>
            <w:vAlign w:val="bottom"/>
            <w:tcBorders>
              <w:top w:val="single" w:sz="8" w:color="0000FF"/>
            </w:tcBorders>
            <w:gridSpan w:val="29"/>
            <w:shd w:val="clear" w:color="auto" w:fill="CCEEFF"/>
          </w:tcPr>
          <w:p>
            <w:pPr>
              <w:spacing w:after="0" w:line="129" w:lineRule="exact"/>
              <w:rPr>
                <w:rFonts w:ascii="Arial" w:cs="Arial" w:eastAsia="Arial" w:hAnsi="Arial"/>
                <w:sz w:val="14"/>
                <w:szCs w:val="14"/>
                <w:color w:val="0000FF"/>
              </w:rPr>
            </w:pPr>
            <w:hyperlink r:id="rId90">
              <w:r>
                <w:rPr>
                  <w:rFonts w:ascii="Arial" w:cs="Arial" w:eastAsia="Arial" w:hAnsi="Arial"/>
                  <w:sz w:val="14"/>
                  <w:szCs w:val="14"/>
                  <w:color w:val="0000FF"/>
                </w:rPr>
                <w:t>on March 30, 2022) (SEC No. 001-41342)</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27"/>
        </w:trPr>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4"/>
                <w:szCs w:val="14"/>
                <w:color w:val="auto"/>
              </w:rPr>
            </w:pPr>
          </w:p>
        </w:tc>
        <w:tc>
          <w:tcPr>
            <w:tcW w:w="9700" w:type="dxa"/>
            <w:vAlign w:val="bottom"/>
            <w:gridSpan w:val="32"/>
          </w:tcPr>
          <w:p>
            <w:pPr>
              <w:spacing w:after="0"/>
              <w:rPr>
                <w:rFonts w:ascii="Arial" w:cs="Arial" w:eastAsia="Arial" w:hAnsi="Arial"/>
                <w:sz w:val="14"/>
                <w:szCs w:val="14"/>
                <w:color w:val="0000FF"/>
              </w:rPr>
            </w:pPr>
            <w:hyperlink r:id="rId91">
              <w:r>
                <w:rPr>
                  <w:rFonts w:ascii="Arial" w:cs="Arial" w:eastAsia="Arial" w:hAnsi="Arial"/>
                  <w:sz w:val="14"/>
                  <w:szCs w:val="14"/>
                  <w:color w:val="0000FF"/>
                </w:rPr>
                <w:t>Form of Depositary Receipt (Incorporated by reference to Exhibit 4.2 of registrant’s Form 8-A filed on March 30, 2022) (SEC No. 001-41342)</w:t>
              </w:r>
            </w:hyperlink>
          </w:p>
        </w:tc>
      </w:tr>
      <w:tr>
        <w:trPr>
          <w:trHeight w:val="21"/>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92">
              <w:r>
                <w:rPr>
                  <w:rFonts w:ascii="Arial" w:cs="Arial" w:eastAsia="Arial" w:hAnsi="Arial"/>
                  <w:sz w:val="14"/>
                  <w:szCs w:val="14"/>
                  <w:color w:val="0000FF"/>
                </w:rPr>
                <w:t>Indenture, dated as of December 18, 2019, between First Merchants Corporation (as successor to Level One Bancorp, Inc.) and Wilmington Trust,</w:t>
              </w:r>
            </w:hyperlink>
          </w:p>
        </w:tc>
      </w:tr>
      <w:tr>
        <w:trPr>
          <w:trHeight w:val="129"/>
        </w:trPr>
        <w:tc>
          <w:tcPr>
            <w:tcW w:w="1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300" w:type="dxa"/>
            <w:vAlign w:val="bottom"/>
            <w:tcBorders>
              <w:top w:val="single" w:sz="8" w:color="0000FF"/>
            </w:tcBorders>
            <w:gridSpan w:val="18"/>
            <w:shd w:val="clear" w:color="auto" w:fill="CCEEFF"/>
          </w:tcPr>
          <w:p>
            <w:pPr>
              <w:spacing w:after="0" w:line="129" w:lineRule="exact"/>
              <w:rPr>
                <w:rFonts w:ascii="Arial" w:cs="Arial" w:eastAsia="Arial" w:hAnsi="Arial"/>
                <w:sz w:val="14"/>
                <w:szCs w:val="14"/>
                <w:color w:val="0000FF"/>
              </w:rPr>
            </w:pPr>
            <w:hyperlink r:id="rId92">
              <w:r>
                <w:rPr>
                  <w:rFonts w:ascii="Arial" w:cs="Arial" w:eastAsia="Arial" w:hAnsi="Arial"/>
                  <w:sz w:val="14"/>
                  <w:szCs w:val="14"/>
                  <w:color w:val="0000FF"/>
                </w:rPr>
                <w:t>National Association, as trustee (Incorporated by reference to Exhibit 4.1 of Level One Bancorp, Inc.’s Form 8-K filed on December 19, 2019) (SEC</w:t>
              </w:r>
            </w:hyperlink>
          </w:p>
        </w:tc>
        <w:tc>
          <w:tcPr>
            <w:tcW w:w="400" w:type="dxa"/>
            <w:vAlign w:val="bottom"/>
            <w:tcBorders>
              <w:top w:val="single" w:sz="8" w:color="CCEEFF"/>
            </w:tcBorders>
            <w:gridSpan w:val="14"/>
            <w:shd w:val="clear" w:color="auto" w:fill="CCEEFF"/>
          </w:tcPr>
          <w:p>
            <w:pPr>
              <w:ind w:left="80"/>
              <w:spacing w:after="0" w:line="129" w:lineRule="exact"/>
              <w:rPr>
                <w:rFonts w:ascii="Arial" w:cs="Arial" w:eastAsia="Arial" w:hAnsi="Arial"/>
                <w:sz w:val="14"/>
                <w:szCs w:val="14"/>
                <w:color w:val="0000FF"/>
              </w:rPr>
            </w:pPr>
            <w:hyperlink r:id="rId92">
              <w:r>
                <w:rPr>
                  <w:rFonts w:ascii="Arial" w:cs="Arial" w:eastAsia="Arial" w:hAnsi="Arial"/>
                  <w:sz w:val="14"/>
                  <w:szCs w:val="14"/>
                  <w:color w:val="0000FF"/>
                </w:rPr>
                <w:t>No.</w:t>
              </w:r>
            </w:hyperlink>
          </w:p>
        </w:tc>
      </w:tr>
      <w:tr>
        <w:trPr>
          <w:trHeight w:val="129"/>
        </w:trPr>
        <w:tc>
          <w:tcPr>
            <w:tcW w:w="1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780" w:type="dxa"/>
            <w:vAlign w:val="bottom"/>
            <w:tcBorders>
              <w:top w:val="single" w:sz="8" w:color="0000FF"/>
            </w:tcBorders>
            <w:gridSpan w:val="3"/>
            <w:shd w:val="clear" w:color="auto" w:fill="CCEEFF"/>
          </w:tcPr>
          <w:p>
            <w:pPr>
              <w:spacing w:after="0" w:line="129" w:lineRule="exact"/>
              <w:rPr>
                <w:rFonts w:ascii="Arial" w:cs="Arial" w:eastAsia="Arial" w:hAnsi="Arial"/>
                <w:sz w:val="14"/>
                <w:szCs w:val="14"/>
                <w:color w:val="0000FF"/>
              </w:rPr>
            </w:pPr>
            <w:hyperlink r:id="rId92">
              <w:r>
                <w:rPr>
                  <w:rFonts w:ascii="Arial" w:cs="Arial" w:eastAsia="Arial" w:hAnsi="Arial"/>
                  <w:sz w:val="14"/>
                  <w:szCs w:val="14"/>
                  <w:color w:val="0000FF"/>
                </w:rPr>
                <w:t>001-38458)</w:t>
              </w:r>
            </w:hyperlink>
          </w:p>
        </w:tc>
        <w:tc>
          <w:tcPr>
            <w:tcW w:w="160" w:type="dxa"/>
            <w:vAlign w:val="bottom"/>
            <w:tcBorders>
              <w:top w:val="single" w:sz="8" w:color="0000FF"/>
            </w:tcBorders>
            <w:shd w:val="clear" w:color="auto" w:fill="CCEEFF"/>
          </w:tcPr>
          <w:p>
            <w:pPr>
              <w:spacing w:after="0"/>
              <w:rPr>
                <w:sz w:val="11"/>
                <w:szCs w:val="11"/>
                <w:color w:val="auto"/>
              </w:rPr>
            </w:pPr>
          </w:p>
        </w:tc>
        <w:tc>
          <w:tcPr>
            <w:tcW w:w="720" w:type="dxa"/>
            <w:vAlign w:val="bottom"/>
            <w:tcBorders>
              <w:top w:val="single" w:sz="8" w:color="0000FF"/>
            </w:tcBorders>
            <w:shd w:val="clear" w:color="auto" w:fill="CCEEFF"/>
          </w:tcPr>
          <w:p>
            <w:pPr>
              <w:spacing w:after="0"/>
              <w:rPr>
                <w:sz w:val="11"/>
                <w:szCs w:val="11"/>
                <w:color w:val="auto"/>
              </w:rPr>
            </w:pPr>
          </w:p>
        </w:tc>
        <w:tc>
          <w:tcPr>
            <w:tcW w:w="56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rPr>
                <w:sz w:val="11"/>
                <w:szCs w:val="11"/>
                <w:color w:val="auto"/>
              </w:rPr>
            </w:pPr>
          </w:p>
        </w:tc>
        <w:tc>
          <w:tcPr>
            <w:tcW w:w="1900" w:type="dxa"/>
            <w:vAlign w:val="bottom"/>
            <w:tcBorders>
              <w:top w:val="single" w:sz="8" w:color="0000FF"/>
            </w:tcBorders>
            <w:shd w:val="clear" w:color="auto" w:fill="CCEEFF"/>
          </w:tcPr>
          <w:p>
            <w:pPr>
              <w:spacing w:after="0"/>
              <w:rPr>
                <w:sz w:val="11"/>
                <w:szCs w:val="11"/>
                <w:color w:val="auto"/>
              </w:rPr>
            </w:pPr>
          </w:p>
        </w:tc>
        <w:tc>
          <w:tcPr>
            <w:tcW w:w="6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900" w:type="dxa"/>
            <w:vAlign w:val="bottom"/>
            <w:tcBorders>
              <w:top w:val="single" w:sz="8" w:color="0000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27"/>
        </w:trPr>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9700" w:type="dxa"/>
            <w:vAlign w:val="bottom"/>
            <w:gridSpan w:val="32"/>
          </w:tcPr>
          <w:p>
            <w:pPr>
              <w:spacing w:after="0"/>
              <w:rPr>
                <w:rFonts w:ascii="Arial" w:cs="Arial" w:eastAsia="Arial" w:hAnsi="Arial"/>
                <w:sz w:val="14"/>
                <w:szCs w:val="14"/>
                <w:color w:val="0000FF"/>
              </w:rPr>
            </w:pPr>
            <w:hyperlink r:id="rId93">
              <w:r>
                <w:rPr>
                  <w:rFonts w:ascii="Arial" w:cs="Arial" w:eastAsia="Arial" w:hAnsi="Arial"/>
                  <w:sz w:val="14"/>
                  <w:szCs w:val="14"/>
                  <w:color w:val="0000FF"/>
                </w:rPr>
                <w:t>First Supplemental Indenture, dated as of March 31, 2022, among First Merchants Corporation, Level One Bancorp, Inc. and Wilmington Trust, National</w:t>
              </w:r>
            </w:hyperlink>
          </w:p>
        </w:tc>
      </w:tr>
      <w:tr>
        <w:trPr>
          <w:trHeight w:val="128"/>
        </w:trPr>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4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93">
              <w:r>
                <w:rPr>
                  <w:rFonts w:ascii="Arial" w:cs="Arial" w:eastAsia="Arial" w:hAnsi="Arial"/>
                  <w:sz w:val="14"/>
                  <w:szCs w:val="14"/>
                  <w:color w:val="0000FF"/>
                </w:rPr>
                <w:t>Association, as trustee (Incorporated by reference to Exhibit 4.11 of registrant’s Form 10-K filed on March 1, 2023) (SEC No. 001-41342)</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90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4.10</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92">
              <w:r>
                <w:rPr>
                  <w:rFonts w:ascii="Arial" w:cs="Arial" w:eastAsia="Arial" w:hAnsi="Arial"/>
                  <w:sz w:val="14"/>
                  <w:szCs w:val="14"/>
                  <w:color w:val="0000FF"/>
                </w:rPr>
                <w:t>Form of 4.75% Fixed-to-Floating Rate Subordinated Notes due 2029 (Incorporated by reference to Exhibit 4.2 of Level One Bancorp, Inc.’s Form 8-K</w:t>
              </w:r>
            </w:hyperlink>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80" w:type="dxa"/>
            <w:vAlign w:val="bottom"/>
            <w:tcBorders>
              <w:top w:val="single" w:sz="8" w:color="0000FF"/>
            </w:tcBorders>
            <w:gridSpan w:val="23"/>
            <w:shd w:val="clear" w:color="auto" w:fill="CCEEFF"/>
          </w:tcPr>
          <w:p>
            <w:pPr>
              <w:spacing w:after="0" w:line="129" w:lineRule="exact"/>
              <w:rPr>
                <w:rFonts w:ascii="Arial" w:cs="Arial" w:eastAsia="Arial" w:hAnsi="Arial"/>
                <w:sz w:val="14"/>
                <w:szCs w:val="14"/>
                <w:color w:val="0000FF"/>
              </w:rPr>
            </w:pPr>
            <w:hyperlink r:id="rId92">
              <w:r>
                <w:rPr>
                  <w:rFonts w:ascii="Arial" w:cs="Arial" w:eastAsia="Arial" w:hAnsi="Arial"/>
                  <w:sz w:val="14"/>
                  <w:szCs w:val="14"/>
                  <w:color w:val="0000FF"/>
                </w:rPr>
                <w:t>filed on December 19, 2019) (SEC No. 001-38458)</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CCEEFF"/>
            </w:tcBorders>
            <w:gridSpan w:val="6"/>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27"/>
        </w:trPr>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53"/>
        </w:trPr>
        <w:tc>
          <w:tcPr>
            <w:tcW w:w="1260" w:type="dxa"/>
            <w:vAlign w:val="bottom"/>
          </w:tcPr>
          <w:p>
            <w:pPr>
              <w:ind w:left="20"/>
              <w:spacing w:after="0" w:line="153" w:lineRule="exact"/>
              <w:rPr>
                <w:sz w:val="20"/>
                <w:szCs w:val="20"/>
                <w:color w:val="auto"/>
              </w:rPr>
            </w:pPr>
            <w:r>
              <w:rPr>
                <w:rFonts w:ascii="Arial" w:cs="Arial" w:eastAsia="Arial" w:hAnsi="Arial"/>
                <w:sz w:val="14"/>
                <w:szCs w:val="14"/>
                <w:color w:val="auto"/>
              </w:rPr>
              <w:t>4.11</w:t>
            </w:r>
          </w:p>
        </w:tc>
        <w:tc>
          <w:tcPr>
            <w:tcW w:w="260" w:type="dxa"/>
            <w:vAlign w:val="bottom"/>
          </w:tcPr>
          <w:p>
            <w:pPr>
              <w:spacing w:after="0"/>
              <w:rPr>
                <w:sz w:val="13"/>
                <w:szCs w:val="13"/>
                <w:color w:val="auto"/>
              </w:rPr>
            </w:pPr>
          </w:p>
        </w:tc>
        <w:tc>
          <w:tcPr>
            <w:tcW w:w="9700" w:type="dxa"/>
            <w:vAlign w:val="bottom"/>
            <w:gridSpan w:val="32"/>
          </w:tcPr>
          <w:p>
            <w:pPr>
              <w:spacing w:after="0" w:line="153" w:lineRule="exact"/>
              <w:rPr>
                <w:sz w:val="20"/>
                <w:szCs w:val="20"/>
                <w:color w:val="auto"/>
              </w:rPr>
            </w:pPr>
            <w:r>
              <w:rPr>
                <w:rFonts w:ascii="Arial" w:cs="Arial" w:eastAsia="Arial" w:hAnsi="Arial"/>
                <w:sz w:val="14"/>
                <w:szCs w:val="14"/>
                <w:color w:val="auto"/>
              </w:rPr>
              <w:t>Upon request, the registrant agrees to furnish supplementally to the Commission a copy of the instruments defining the rights of holders of its 4.50%</w:t>
            </w:r>
          </w:p>
        </w:tc>
      </w:tr>
      <w:tr>
        <w:trPr>
          <w:trHeight w:val="185"/>
        </w:trPr>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700" w:type="dxa"/>
            <w:vAlign w:val="bottom"/>
            <w:gridSpan w:val="32"/>
          </w:tcPr>
          <w:p>
            <w:pPr>
              <w:spacing w:after="0"/>
              <w:rPr>
                <w:sz w:val="20"/>
                <w:szCs w:val="20"/>
                <w:color w:val="auto"/>
              </w:rPr>
            </w:pPr>
            <w:r>
              <w:rPr>
                <w:rFonts w:ascii="Arial" w:cs="Arial" w:eastAsia="Arial" w:hAnsi="Arial"/>
                <w:sz w:val="14"/>
                <w:szCs w:val="14"/>
                <w:color w:val="auto"/>
              </w:rPr>
              <w:t>Fixed-to-Floating Rate Subordinated Notes due 2032 in the aggregate principal amount of $29 million.</w:t>
            </w: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4.12</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94">
              <w:r>
                <w:rPr>
                  <w:rFonts w:ascii="Arial" w:cs="Arial" w:eastAsia="Arial" w:hAnsi="Arial"/>
                  <w:sz w:val="14"/>
                  <w:szCs w:val="14"/>
                  <w:color w:val="0000FF"/>
                </w:rPr>
                <w:t>Indenture, dated as of September 25, 2026, between First Merchants Corporation and U.S. Bank Trust Company, National Association, as trustee</w:t>
              </w:r>
            </w:hyperlink>
          </w:p>
        </w:tc>
      </w:tr>
      <w:tr>
        <w:trPr>
          <w:trHeight w:val="135"/>
        </w:trPr>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7420" w:type="dxa"/>
            <w:vAlign w:val="bottom"/>
            <w:tcBorders>
              <w:top w:val="single" w:sz="8" w:color="0000FF"/>
              <w:bottom w:val="single" w:sz="8" w:color="0000FF"/>
            </w:tcBorders>
            <w:gridSpan w:val="12"/>
            <w:shd w:val="clear" w:color="auto" w:fill="CCEEFF"/>
          </w:tcPr>
          <w:p>
            <w:pPr>
              <w:spacing w:after="0" w:line="129" w:lineRule="exact"/>
              <w:rPr>
                <w:rFonts w:ascii="Arial" w:cs="Arial" w:eastAsia="Arial" w:hAnsi="Arial"/>
                <w:sz w:val="14"/>
                <w:szCs w:val="14"/>
                <w:color w:val="0000FF"/>
              </w:rPr>
            </w:pPr>
            <w:hyperlink r:id="rId94">
              <w:r>
                <w:rPr>
                  <w:rFonts w:ascii="Arial" w:cs="Arial" w:eastAsia="Arial" w:hAnsi="Arial"/>
                  <w:sz w:val="14"/>
                  <w:szCs w:val="14"/>
                  <w:color w:val="0000FF"/>
                </w:rPr>
                <w:t>(Incorporated by reference to Exhibit 4.1 of registrant's Form 8-K filed on September 25, 2026) (SEC No. 001-41342)</w:t>
              </w:r>
            </w:hyperlink>
          </w:p>
        </w:tc>
        <w:tc>
          <w:tcPr>
            <w:tcW w:w="1840" w:type="dxa"/>
            <w:vAlign w:val="bottom"/>
            <w:tcBorders>
              <w:top w:val="single" w:sz="8" w:color="0000FF"/>
              <w:bottom w:val="single" w:sz="8" w:color="CCEEFF"/>
            </w:tcBorders>
            <w:gridSpan w:val="5"/>
            <w:shd w:val="clear" w:color="auto" w:fill="CCEEFF"/>
          </w:tcPr>
          <w:p>
            <w:pPr>
              <w:spacing w:after="0"/>
              <w:rPr>
                <w:sz w:val="11"/>
                <w:szCs w:val="11"/>
                <w:color w:val="auto"/>
              </w:rPr>
            </w:pPr>
          </w:p>
        </w:tc>
        <w:tc>
          <w:tcPr>
            <w:tcW w:w="260" w:type="dxa"/>
            <w:vAlign w:val="bottom"/>
            <w:tcBorders>
              <w:top w:val="single" w:sz="8" w:color="CCEEFF"/>
              <w:bottom w:val="single" w:sz="8" w:color="CCEEFF"/>
            </w:tcBorders>
            <w:gridSpan w:val="8"/>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6"/>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4.13</w:t>
            </w:r>
          </w:p>
        </w:tc>
        <w:tc>
          <w:tcPr>
            <w:tcW w:w="260" w:type="dxa"/>
            <w:vAlign w:val="bottom"/>
          </w:tcPr>
          <w:p>
            <w:pPr>
              <w:spacing w:after="0"/>
              <w:rPr>
                <w:sz w:val="14"/>
                <w:szCs w:val="14"/>
                <w:color w:val="auto"/>
              </w:rPr>
            </w:pPr>
          </w:p>
        </w:tc>
        <w:tc>
          <w:tcPr>
            <w:tcW w:w="9700" w:type="dxa"/>
            <w:vAlign w:val="bottom"/>
            <w:gridSpan w:val="32"/>
          </w:tcPr>
          <w:p>
            <w:pPr>
              <w:spacing w:after="0"/>
              <w:rPr>
                <w:rFonts w:ascii="Arial" w:cs="Arial" w:eastAsia="Arial" w:hAnsi="Arial"/>
                <w:sz w:val="14"/>
                <w:szCs w:val="14"/>
                <w:color w:val="0000FF"/>
              </w:rPr>
            </w:pPr>
            <w:hyperlink r:id="rId95">
              <w:r>
                <w:rPr>
                  <w:rFonts w:ascii="Arial" w:cs="Arial" w:eastAsia="Arial" w:hAnsi="Arial"/>
                  <w:sz w:val="14"/>
                  <w:szCs w:val="14"/>
                  <w:color w:val="0000FF"/>
                </w:rPr>
                <w:t>First Supplemental Indenture, dated September 25, 2026, between First Merchants Corporation and U.S. Bank Trust Company, National Association, as</w:t>
              </w:r>
            </w:hyperlink>
          </w:p>
        </w:tc>
      </w:tr>
      <w:tr>
        <w:trPr>
          <w:trHeight w:val="135"/>
        </w:trPr>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90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95">
              <w:r>
                <w:rPr>
                  <w:rFonts w:ascii="Arial" w:cs="Arial" w:eastAsia="Arial" w:hAnsi="Arial"/>
                  <w:sz w:val="14"/>
                  <w:szCs w:val="14"/>
                  <w:color w:val="0000FF"/>
                </w:rPr>
                <w:t>trustee (Incorporated by reference to Exhibit 4.2 of registrant's Form 8-K filed on September 25, 2026) (SEC No. 001-41342)</w:t>
              </w:r>
            </w:hyperlink>
          </w:p>
        </w:tc>
        <w:tc>
          <w:tcPr>
            <w:tcW w:w="1760" w:type="dxa"/>
            <w:vAlign w:val="bottom"/>
            <w:tcBorders>
              <w:top w:val="single" w:sz="8" w:color="0000FF"/>
            </w:tcBorders>
            <w:gridSpan w:val="18"/>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4.14</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rFonts w:ascii="Arial" w:cs="Arial" w:eastAsia="Arial" w:hAnsi="Arial"/>
                <w:sz w:val="14"/>
                <w:szCs w:val="14"/>
                <w:color w:val="0000FF"/>
              </w:rPr>
            </w:pPr>
            <w:hyperlink r:id="rId95">
              <w:r>
                <w:rPr>
                  <w:rFonts w:ascii="Arial" w:cs="Arial" w:eastAsia="Arial" w:hAnsi="Arial"/>
                  <w:sz w:val="14"/>
                  <w:szCs w:val="14"/>
                  <w:color w:val="0000FF"/>
                </w:rPr>
                <w:t>Form of 6.750% Fixed-to-Floating Rate Subordinated Notes due 2036 (Incorporated by reference to Exhibit 4.3 (included in Exhibit 4.2) of registrant's</w:t>
              </w:r>
            </w:hyperlink>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520" w:type="dxa"/>
            <w:vAlign w:val="bottom"/>
            <w:tcBorders>
              <w:top w:val="single" w:sz="8" w:color="0000FF"/>
            </w:tcBorders>
            <w:gridSpan w:val="25"/>
            <w:shd w:val="clear" w:color="auto" w:fill="CCEEFF"/>
          </w:tcPr>
          <w:p>
            <w:pPr>
              <w:spacing w:after="0" w:line="129" w:lineRule="exact"/>
              <w:rPr>
                <w:rFonts w:ascii="Arial" w:cs="Arial" w:eastAsia="Arial" w:hAnsi="Arial"/>
                <w:sz w:val="14"/>
                <w:szCs w:val="14"/>
                <w:color w:val="0000FF"/>
              </w:rPr>
            </w:pPr>
            <w:hyperlink r:id="rId95">
              <w:r>
                <w:rPr>
                  <w:rFonts w:ascii="Arial" w:cs="Arial" w:eastAsia="Arial" w:hAnsi="Arial"/>
                  <w:sz w:val="14"/>
                  <w:szCs w:val="14"/>
                  <w:color w:val="0000FF"/>
                </w:rPr>
                <w:t>Form 8-K filed on September 25, 2026) (SEC No. 001-41342)</w:t>
              </w:r>
            </w:hyperlink>
          </w:p>
        </w:tc>
        <w:tc>
          <w:tcPr>
            <w:tcW w:w="180" w:type="dxa"/>
            <w:vAlign w:val="bottom"/>
            <w:tcBorders>
              <w:top w:val="single" w:sz="8" w:color="CCEEFF"/>
            </w:tcBorders>
            <w:gridSpan w:val="7"/>
            <w:shd w:val="clear" w:color="auto" w:fill="CCEEFF"/>
          </w:tcPr>
          <w:p>
            <w:pPr>
              <w:spacing w:after="0"/>
              <w:rPr>
                <w:sz w:val="11"/>
                <w:szCs w:val="11"/>
                <w:color w:val="auto"/>
              </w:rPr>
            </w:pPr>
          </w:p>
        </w:tc>
      </w:tr>
      <w:tr>
        <w:trPr>
          <w:trHeight w:val="27"/>
        </w:trPr>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31.1</w:t>
            </w:r>
          </w:p>
        </w:tc>
        <w:tc>
          <w:tcPr>
            <w:tcW w:w="260" w:type="dxa"/>
            <w:vAlign w:val="bottom"/>
          </w:tcPr>
          <w:p>
            <w:pPr>
              <w:spacing w:after="0"/>
              <w:rPr>
                <w:sz w:val="14"/>
                <w:szCs w:val="14"/>
                <w:color w:val="auto"/>
              </w:rPr>
            </w:pPr>
          </w:p>
        </w:tc>
        <w:tc>
          <w:tcPr>
            <w:tcW w:w="9700" w:type="dxa"/>
            <w:vAlign w:val="bottom"/>
            <w:gridSpan w:val="32"/>
          </w:tcPr>
          <w:p>
            <w:pPr>
              <w:spacing w:after="0"/>
              <w:rPr>
                <w:sz w:val="20"/>
                <w:szCs w:val="20"/>
                <w:color w:val="auto"/>
              </w:rPr>
            </w:pPr>
            <w:r>
              <w:rPr>
                <w:rFonts w:ascii="Arial" w:cs="Arial" w:eastAsia="Arial" w:hAnsi="Arial"/>
                <w:sz w:val="14"/>
                <w:szCs w:val="14"/>
                <w:color w:val="0000FF"/>
              </w:rPr>
              <w:t>Certification of Chief Executive Officer Pursuant to Section 302 of the Sarbanes - Oxley Act of 2002 (1)</w:t>
            </w:r>
          </w:p>
        </w:tc>
      </w:tr>
      <w:tr>
        <w:trPr>
          <w:trHeight w:val="20"/>
        </w:trPr>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31.2</w:t>
            </w:r>
          </w:p>
        </w:tc>
        <w:tc>
          <w:tcPr>
            <w:tcW w:w="260" w:type="dxa"/>
            <w:vAlign w:val="bottom"/>
            <w:shd w:val="clear" w:color="auto" w:fill="CCEEFF"/>
          </w:tcPr>
          <w:p>
            <w:pPr>
              <w:spacing w:after="0"/>
              <w:rPr>
                <w:sz w:val="14"/>
                <w:szCs w:val="14"/>
                <w:color w:val="auto"/>
              </w:rPr>
            </w:pPr>
          </w:p>
        </w:tc>
        <w:tc>
          <w:tcPr>
            <w:tcW w:w="9700" w:type="dxa"/>
            <w:vAlign w:val="bottom"/>
            <w:gridSpan w:val="32"/>
            <w:shd w:val="clear" w:color="auto" w:fill="CCEEFF"/>
          </w:tcPr>
          <w:p>
            <w:pPr>
              <w:spacing w:after="0"/>
              <w:rPr>
                <w:sz w:val="20"/>
                <w:szCs w:val="20"/>
                <w:color w:val="auto"/>
              </w:rPr>
            </w:pPr>
            <w:r>
              <w:rPr>
                <w:rFonts w:ascii="Arial" w:cs="Arial" w:eastAsia="Arial" w:hAnsi="Arial"/>
                <w:sz w:val="14"/>
                <w:szCs w:val="14"/>
                <w:color w:val="0000FF"/>
              </w:rPr>
              <w:t>Certification of Chief Financial Officer Pursuant to Section 302 of the Sarbanes - Oxley Act of 2002 (1)</w:t>
            </w: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4" w:lineRule="exact"/>
        <w:rPr>
          <w:sz w:val="20"/>
          <w:szCs w:val="20"/>
          <w:color w:val="auto"/>
        </w:rPr>
      </w:pPr>
    </w:p>
    <w:p>
      <w:pPr>
        <w:ind w:left="1520" w:hanging="1494"/>
        <w:spacing w:after="0"/>
        <w:tabs>
          <w:tab w:leader="none" w:pos="1520"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0000FF"/>
        </w:rPr>
        <w:t>Certifications Pursuant to 18 U.S.C. Section 1350, as Adopted Pursuant to Section 906 of the Sarbanes - Oxley Act of 2002 (2)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101.INS</w:t>
            </w:r>
          </w:p>
        </w:tc>
        <w:tc>
          <w:tcPr>
            <w:tcW w:w="101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Inline XBRL Instance Document - the instance document does not appear in the Interactive Data File because its XBRL tags are embedded within the</w:t>
            </w:r>
          </w:p>
        </w:tc>
      </w:tr>
      <w:tr>
        <w:trPr>
          <w:trHeight w:val="185"/>
        </w:trPr>
        <w:tc>
          <w:tcPr>
            <w:tcW w:w="1060" w:type="dxa"/>
            <w:vAlign w:val="bottom"/>
            <w:shd w:val="clear" w:color="auto" w:fill="CCEEFF"/>
          </w:tcPr>
          <w:p>
            <w:pPr>
              <w:spacing w:after="0"/>
              <w:rPr>
                <w:sz w:val="16"/>
                <w:szCs w:val="16"/>
                <w:color w:val="auto"/>
              </w:rPr>
            </w:pPr>
          </w:p>
        </w:tc>
        <w:tc>
          <w:tcPr>
            <w:tcW w:w="101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Inline XBRL document (1)</w:t>
            </w:r>
          </w:p>
        </w:tc>
      </w:tr>
      <w:tr>
        <w:trPr>
          <w:trHeight w:val="198"/>
        </w:trPr>
        <w:tc>
          <w:tcPr>
            <w:tcW w:w="1060" w:type="dxa"/>
            <w:vAlign w:val="bottom"/>
          </w:tcPr>
          <w:p>
            <w:pPr>
              <w:ind w:left="20"/>
              <w:spacing w:after="0"/>
              <w:rPr>
                <w:sz w:val="20"/>
                <w:szCs w:val="20"/>
                <w:color w:val="auto"/>
              </w:rPr>
            </w:pPr>
            <w:r>
              <w:rPr>
                <w:rFonts w:ascii="Arial" w:cs="Arial" w:eastAsia="Arial" w:hAnsi="Arial"/>
                <w:sz w:val="14"/>
                <w:szCs w:val="14"/>
                <w:color w:val="auto"/>
              </w:rPr>
              <w:t>101.SCH</w:t>
            </w:r>
          </w:p>
        </w:tc>
        <w:tc>
          <w:tcPr>
            <w:tcW w:w="10160" w:type="dxa"/>
            <w:vAlign w:val="bottom"/>
          </w:tcPr>
          <w:p>
            <w:pPr>
              <w:ind w:left="460"/>
              <w:spacing w:after="0"/>
              <w:rPr>
                <w:sz w:val="20"/>
                <w:szCs w:val="20"/>
                <w:color w:val="auto"/>
              </w:rPr>
            </w:pPr>
            <w:r>
              <w:rPr>
                <w:rFonts w:ascii="Arial" w:cs="Arial" w:eastAsia="Arial" w:hAnsi="Arial"/>
                <w:sz w:val="14"/>
                <w:szCs w:val="14"/>
                <w:color w:val="auto"/>
              </w:rPr>
              <w:t>Inline XBRL Taxonomy Extension Schema Document (1)</w:t>
            </w:r>
          </w:p>
        </w:tc>
      </w:tr>
      <w:tr>
        <w:trPr>
          <w:trHeight w:val="207"/>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101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Inline XBRL Taxonomy Extension Calculation Linkbase Document (1)</w:t>
            </w:r>
          </w:p>
        </w:tc>
      </w:tr>
      <w:tr>
        <w:trPr>
          <w:trHeight w:val="198"/>
        </w:trPr>
        <w:tc>
          <w:tcPr>
            <w:tcW w:w="1060" w:type="dxa"/>
            <w:vAlign w:val="bottom"/>
          </w:tcPr>
          <w:p>
            <w:pPr>
              <w:ind w:left="20"/>
              <w:spacing w:after="0"/>
              <w:rPr>
                <w:sz w:val="20"/>
                <w:szCs w:val="20"/>
                <w:color w:val="auto"/>
              </w:rPr>
            </w:pPr>
            <w:r>
              <w:rPr>
                <w:rFonts w:ascii="Arial" w:cs="Arial" w:eastAsia="Arial" w:hAnsi="Arial"/>
                <w:sz w:val="14"/>
                <w:szCs w:val="14"/>
                <w:color w:val="auto"/>
              </w:rPr>
              <w:t>101.DEF</w:t>
            </w:r>
          </w:p>
        </w:tc>
        <w:tc>
          <w:tcPr>
            <w:tcW w:w="10160" w:type="dxa"/>
            <w:vAlign w:val="bottom"/>
          </w:tcPr>
          <w:p>
            <w:pPr>
              <w:ind w:left="460"/>
              <w:spacing w:after="0"/>
              <w:rPr>
                <w:sz w:val="20"/>
                <w:szCs w:val="20"/>
                <w:color w:val="auto"/>
              </w:rPr>
            </w:pPr>
            <w:r>
              <w:rPr>
                <w:rFonts w:ascii="Arial" w:cs="Arial" w:eastAsia="Arial" w:hAnsi="Arial"/>
                <w:sz w:val="14"/>
                <w:szCs w:val="14"/>
                <w:color w:val="auto"/>
              </w:rPr>
              <w:t>Inline XBRL Taxonomy Extension Definition Linkbase Document (1)</w:t>
            </w:r>
          </w:p>
        </w:tc>
      </w:tr>
      <w:tr>
        <w:trPr>
          <w:trHeight w:val="206"/>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101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Inline XBRL Taxonomy Extension Label Linkbase Document (1)</w:t>
            </w:r>
          </w:p>
        </w:tc>
      </w:tr>
      <w:tr>
        <w:trPr>
          <w:trHeight w:val="195"/>
        </w:trPr>
        <w:tc>
          <w:tcPr>
            <w:tcW w:w="1060" w:type="dxa"/>
            <w:vAlign w:val="bottom"/>
          </w:tcPr>
          <w:p>
            <w:pPr>
              <w:ind w:left="20"/>
              <w:spacing w:after="0"/>
              <w:rPr>
                <w:sz w:val="20"/>
                <w:szCs w:val="20"/>
                <w:color w:val="auto"/>
              </w:rPr>
            </w:pPr>
            <w:r>
              <w:rPr>
                <w:rFonts w:ascii="Arial" w:cs="Arial" w:eastAsia="Arial" w:hAnsi="Arial"/>
                <w:sz w:val="14"/>
                <w:szCs w:val="14"/>
                <w:color w:val="auto"/>
              </w:rPr>
              <w:t>101.PRE</w:t>
            </w:r>
          </w:p>
        </w:tc>
        <w:tc>
          <w:tcPr>
            <w:tcW w:w="10160" w:type="dxa"/>
            <w:vAlign w:val="bottom"/>
          </w:tcPr>
          <w:p>
            <w:pPr>
              <w:ind w:left="460"/>
              <w:spacing w:after="0"/>
              <w:rPr>
                <w:sz w:val="20"/>
                <w:szCs w:val="20"/>
                <w:color w:val="auto"/>
              </w:rPr>
            </w:pPr>
            <w:r>
              <w:rPr>
                <w:rFonts w:ascii="Arial" w:cs="Arial" w:eastAsia="Arial" w:hAnsi="Arial"/>
                <w:sz w:val="14"/>
                <w:szCs w:val="14"/>
                <w:color w:val="auto"/>
              </w:rPr>
              <w:t>Inline XBRL Taxonomy Extension Presentation Linkbase Document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ind w:left="1520" w:hanging="1494"/>
        <w:spacing w:after="0"/>
        <w:tabs>
          <w:tab w:leader="none" w:pos="1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included in Exhibit 101)</w:t>
      </w:r>
    </w:p>
    <w:p>
      <w:pPr>
        <w:spacing w:after="0" w:line="149" w:lineRule="exact"/>
        <w:rPr>
          <w:rFonts w:ascii="Arial" w:cs="Arial" w:eastAsia="Arial" w:hAnsi="Arial"/>
          <w:sz w:val="14"/>
          <w:szCs w:val="14"/>
          <w:color w:val="auto"/>
        </w:rPr>
      </w:pPr>
    </w:p>
    <w:p>
      <w:pPr>
        <w:ind w:left="1520" w:hanging="221"/>
        <w:spacing w:after="0"/>
        <w:tabs>
          <w:tab w:leader="none" w:pos="1520" w:val="left"/>
        </w:tabs>
        <w:numPr>
          <w:ilvl w:val="1"/>
          <w:numId w:val="2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1" w:lineRule="exact"/>
        <w:rPr>
          <w:rFonts w:ascii="Arial" w:cs="Arial" w:eastAsia="Arial" w:hAnsi="Arial"/>
          <w:sz w:val="14"/>
          <w:szCs w:val="14"/>
          <w:color w:val="auto"/>
        </w:rPr>
      </w:pPr>
    </w:p>
    <w:p>
      <w:pPr>
        <w:ind w:left="1520" w:hanging="221"/>
        <w:spacing w:after="0"/>
        <w:tabs>
          <w:tab w:leader="none" w:pos="1520" w:val="left"/>
        </w:tabs>
        <w:numPr>
          <w:ilvl w:val="1"/>
          <w:numId w:val="2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1517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22" w:lineRule="exact"/>
        <w:rPr>
          <w:sz w:val="20"/>
          <w:szCs w:val="20"/>
          <w:color w:val="auto"/>
        </w:rPr>
      </w:pPr>
    </w:p>
    <w:p>
      <w:pPr>
        <w:ind w:left="1520" w:right="160" w:hanging="101"/>
        <w:spacing w:after="0" w:line="264" w:lineRule="auto"/>
        <w:tabs>
          <w:tab w:leader="none" w:pos="1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Schedules to the subject agreement have been omitted pursuant to Item 601(b)(2) of Regulation S-K. A copy of any omitted schedule will be furnished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First Merchants Corporation</w:t>
            </w:r>
          </w:p>
        </w:tc>
      </w:tr>
      <w:tr>
        <w:trPr>
          <w:trHeight w:val="215"/>
        </w:trPr>
        <w:tc>
          <w:tcPr>
            <w:tcW w:w="6120" w:type="dxa"/>
            <w:vAlign w:val="bottom"/>
          </w:tcPr>
          <w:p>
            <w:pPr>
              <w:spacing w:after="0"/>
              <w:rPr>
                <w:sz w:val="18"/>
                <w:szCs w:val="18"/>
                <w:color w:val="auto"/>
              </w:rPr>
            </w:pPr>
          </w:p>
        </w:tc>
        <w:tc>
          <w:tcPr>
            <w:tcW w:w="178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(Registrant)</w:t>
            </w:r>
          </w:p>
        </w:tc>
        <w:tc>
          <w:tcPr>
            <w:tcW w:w="1300" w:type="dxa"/>
            <w:vAlign w:val="bottom"/>
          </w:tcPr>
          <w:p>
            <w:pPr>
              <w:spacing w:after="0"/>
              <w:rPr>
                <w:sz w:val="18"/>
                <w:szCs w:val="18"/>
                <w:color w:val="auto"/>
              </w:rPr>
            </w:pPr>
          </w:p>
        </w:tc>
      </w:tr>
      <w:tr>
        <w:trPr>
          <w:trHeight w:val="602"/>
        </w:trPr>
        <w:tc>
          <w:tcPr>
            <w:tcW w:w="6120" w:type="dxa"/>
            <w:vAlign w:val="bottom"/>
          </w:tcPr>
          <w:p>
            <w:pPr>
              <w:spacing w:after="0"/>
              <w:rPr>
                <w:sz w:val="20"/>
                <w:szCs w:val="20"/>
                <w:color w:val="auto"/>
              </w:rPr>
            </w:pPr>
            <w:r>
              <w:rPr>
                <w:rFonts w:ascii="Arial" w:cs="Arial" w:eastAsia="Arial" w:hAnsi="Arial"/>
                <w:sz w:val="14"/>
                <w:szCs w:val="14"/>
                <w:color w:val="auto"/>
              </w:rPr>
              <w:t>October 30, 2026</w:t>
            </w:r>
          </w:p>
        </w:tc>
        <w:tc>
          <w:tcPr>
            <w:tcW w:w="3080" w:type="dxa"/>
            <w:vAlign w:val="bottom"/>
            <w:gridSpan w:val="5"/>
          </w:tcPr>
          <w:p>
            <w:pPr>
              <w:spacing w:after="0"/>
              <w:rPr>
                <w:sz w:val="20"/>
                <w:szCs w:val="20"/>
                <w:color w:val="auto"/>
              </w:rPr>
            </w:pPr>
            <w:r>
              <w:rPr>
                <w:rFonts w:ascii="Arial" w:cs="Arial" w:eastAsia="Arial" w:hAnsi="Arial"/>
                <w:sz w:val="14"/>
                <w:szCs w:val="14"/>
                <w:color w:val="auto"/>
              </w:rPr>
              <w:t>by /s/ Mark K. Hardwick</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15"/>
        </w:trPr>
        <w:tc>
          <w:tcPr>
            <w:tcW w:w="6120" w:type="dxa"/>
            <w:vAlign w:val="bottom"/>
          </w:tcPr>
          <w:p>
            <w:pPr>
              <w:spacing w:after="0"/>
              <w:rPr>
                <w:sz w:val="18"/>
                <w:szCs w:val="18"/>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Mark K. Hardwick</w:t>
            </w:r>
          </w:p>
        </w:tc>
      </w:tr>
      <w:tr>
        <w:trPr>
          <w:trHeight w:val="203"/>
        </w:trPr>
        <w:tc>
          <w:tcPr>
            <w:tcW w:w="6120" w:type="dxa"/>
            <w:vAlign w:val="bottom"/>
          </w:tcPr>
          <w:p>
            <w:pPr>
              <w:spacing w:after="0"/>
              <w:rPr>
                <w:sz w:val="17"/>
                <w:szCs w:val="17"/>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Chief Executive Officer</w:t>
            </w:r>
          </w:p>
        </w:tc>
      </w:tr>
      <w:tr>
        <w:trPr>
          <w:trHeight w:val="203"/>
        </w:trPr>
        <w:tc>
          <w:tcPr>
            <w:tcW w:w="6120" w:type="dxa"/>
            <w:vAlign w:val="bottom"/>
          </w:tcPr>
          <w:p>
            <w:pPr>
              <w:spacing w:after="0"/>
              <w:rPr>
                <w:sz w:val="17"/>
                <w:szCs w:val="17"/>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(Principal Executive Officer)</w:t>
            </w:r>
          </w:p>
        </w:tc>
      </w:tr>
      <w:tr>
        <w:trPr>
          <w:trHeight w:val="386"/>
        </w:trPr>
        <w:tc>
          <w:tcPr>
            <w:tcW w:w="6120" w:type="dxa"/>
            <w:vAlign w:val="bottom"/>
          </w:tcPr>
          <w:p>
            <w:pPr>
              <w:spacing w:after="0"/>
              <w:rPr>
                <w:sz w:val="20"/>
                <w:szCs w:val="20"/>
                <w:color w:val="auto"/>
              </w:rPr>
            </w:pPr>
            <w:r>
              <w:rPr>
                <w:rFonts w:ascii="Arial" w:cs="Arial" w:eastAsia="Arial" w:hAnsi="Arial"/>
                <w:sz w:val="14"/>
                <w:szCs w:val="14"/>
                <w:color w:val="auto"/>
              </w:rPr>
              <w:t>October 30, 2026</w:t>
            </w:r>
          </w:p>
        </w:tc>
        <w:tc>
          <w:tcPr>
            <w:tcW w:w="3080" w:type="dxa"/>
            <w:vAlign w:val="bottom"/>
            <w:gridSpan w:val="5"/>
          </w:tcPr>
          <w:p>
            <w:pPr>
              <w:spacing w:after="0"/>
              <w:rPr>
                <w:sz w:val="20"/>
                <w:szCs w:val="20"/>
                <w:color w:val="auto"/>
              </w:rPr>
            </w:pPr>
            <w:r>
              <w:rPr>
                <w:rFonts w:ascii="Arial" w:cs="Arial" w:eastAsia="Arial" w:hAnsi="Arial"/>
                <w:sz w:val="14"/>
                <w:szCs w:val="14"/>
                <w:color w:val="auto"/>
              </w:rPr>
              <w:t>by /s/ Michele M. Kawiecki</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215"/>
        </w:trPr>
        <w:tc>
          <w:tcPr>
            <w:tcW w:w="6120" w:type="dxa"/>
            <w:vAlign w:val="bottom"/>
          </w:tcPr>
          <w:p>
            <w:pPr>
              <w:spacing w:after="0"/>
              <w:rPr>
                <w:sz w:val="18"/>
                <w:szCs w:val="18"/>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Michele M. Kawiecki</w:t>
            </w:r>
          </w:p>
        </w:tc>
      </w:tr>
      <w:tr>
        <w:trPr>
          <w:trHeight w:val="203"/>
        </w:trPr>
        <w:tc>
          <w:tcPr>
            <w:tcW w:w="6120" w:type="dxa"/>
            <w:vAlign w:val="bottom"/>
          </w:tcPr>
          <w:p>
            <w:pPr>
              <w:spacing w:after="0"/>
              <w:rPr>
                <w:sz w:val="17"/>
                <w:szCs w:val="17"/>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Executive Vice President, Chief Financial Officer</w:t>
            </w:r>
          </w:p>
        </w:tc>
      </w:tr>
      <w:tr>
        <w:trPr>
          <w:trHeight w:val="203"/>
        </w:trPr>
        <w:tc>
          <w:tcPr>
            <w:tcW w:w="6120" w:type="dxa"/>
            <w:vAlign w:val="bottom"/>
          </w:tcPr>
          <w:p>
            <w:pPr>
              <w:spacing w:after="0"/>
              <w:rPr>
                <w:sz w:val="17"/>
                <w:szCs w:val="17"/>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54" w:right="33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PART II: OTHER INFORMATION</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EXHIBIT-31.1</w:t>
      </w:r>
    </w:p>
    <w:p>
      <w:pPr>
        <w:spacing w:after="0" w:line="258"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CERTIFICATIONS PURSUANT TO</w:t>
      </w:r>
    </w:p>
    <w:p>
      <w:pPr>
        <w:spacing w:after="0" w:line="29"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SECTION 302 OF</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CERTIFICATION</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I, Mark K. Hardwick, Chief Executive Officer of First Merchants Corporation, certify that:</w:t>
      </w:r>
    </w:p>
    <w:p>
      <w:pPr>
        <w:spacing w:after="0" w:line="258"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First Merchants Corporation;</w:t>
      </w:r>
    </w:p>
    <w:p>
      <w:pPr>
        <w:spacing w:after="0" w:line="257" w:lineRule="exact"/>
        <w:rPr>
          <w:rFonts w:ascii="Arial" w:cs="Arial" w:eastAsia="Arial" w:hAnsi="Arial"/>
          <w:sz w:val="14"/>
          <w:szCs w:val="14"/>
          <w:color w:val="auto"/>
        </w:rPr>
      </w:pPr>
    </w:p>
    <w:p>
      <w:pPr>
        <w:ind w:left="660" w:right="80" w:hanging="328"/>
        <w:spacing w:after="0" w:line="285" w:lineRule="auto"/>
        <w:tabs>
          <w:tab w:leader="none" w:pos="6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4"/>
          <w:szCs w:val="14"/>
          <w:color w:val="auto"/>
        </w:rPr>
      </w:pPr>
    </w:p>
    <w:p>
      <w:pPr>
        <w:ind w:left="660" w:right="160" w:hanging="328"/>
        <w:spacing w:after="0" w:line="305" w:lineRule="auto"/>
        <w:tabs>
          <w:tab w:leader="none" w:pos="6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4"/>
          <w:szCs w:val="14"/>
          <w:color w:val="auto"/>
        </w:rPr>
      </w:pPr>
    </w:p>
    <w:p>
      <w:pPr>
        <w:ind w:left="600" w:hanging="268"/>
        <w:spacing w:after="0"/>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8"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30" w:lineRule="exact"/>
        <w:rPr>
          <w:rFonts w:ascii="Arial" w:cs="Arial" w:eastAsia="Arial" w:hAnsi="Arial"/>
          <w:sz w:val="14"/>
          <w:szCs w:val="14"/>
          <w:color w:val="auto"/>
        </w:rPr>
      </w:pPr>
    </w:p>
    <w:p>
      <w:pPr>
        <w:jc w:val="both"/>
        <w:ind w:left="1300" w:hanging="320"/>
        <w:spacing w:after="0" w:line="283" w:lineRule="auto"/>
        <w:tabs>
          <w:tab w:leader="none" w:pos="1256"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Arial" w:cs="Arial" w:eastAsia="Arial" w:hAnsi="Arial"/>
          <w:sz w:val="14"/>
          <w:szCs w:val="14"/>
          <w:color w:val="auto"/>
        </w:rPr>
      </w:pPr>
    </w:p>
    <w:p>
      <w:pPr>
        <w:ind w:left="1300" w:right="40" w:hanging="320"/>
        <w:spacing w:after="0" w:line="273" w:lineRule="auto"/>
        <w:tabs>
          <w:tab w:leader="none" w:pos="1256" w:val="left"/>
        </w:tabs>
        <w:numPr>
          <w:ilvl w:val="1"/>
          <w:numId w:val="2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4"/>
          <w:szCs w:val="14"/>
          <w:color w:val="auto"/>
        </w:rPr>
      </w:pPr>
    </w:p>
    <w:p>
      <w:pPr>
        <w:ind w:left="1300" w:right="20" w:hanging="320"/>
        <w:spacing w:after="0" w:line="305" w:lineRule="auto"/>
        <w:tabs>
          <w:tab w:leader="none" w:pos="1248" w:val="left"/>
        </w:tabs>
        <w:numPr>
          <w:ilvl w:val="1"/>
          <w:numId w:val="2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4"/>
          <w:szCs w:val="14"/>
          <w:color w:val="auto"/>
        </w:rPr>
      </w:pPr>
    </w:p>
    <w:p>
      <w:pPr>
        <w:jc w:val="both"/>
        <w:ind w:left="1300" w:right="120" w:hanging="320"/>
        <w:spacing w:after="0" w:line="273" w:lineRule="auto"/>
        <w:tabs>
          <w:tab w:leader="none" w:pos="1256" w:val="left"/>
        </w:tabs>
        <w:numPr>
          <w:ilvl w:val="1"/>
          <w:numId w:val="2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4"/>
          <w:szCs w:val="14"/>
          <w:color w:val="auto"/>
        </w:rPr>
      </w:pPr>
    </w:p>
    <w:p>
      <w:pPr>
        <w:ind w:left="660" w:right="40" w:hanging="328"/>
        <w:spacing w:after="0" w:line="305" w:lineRule="auto"/>
        <w:tabs>
          <w:tab w:leader="none" w:pos="613"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4"/>
          <w:szCs w:val="14"/>
          <w:color w:val="auto"/>
        </w:rPr>
      </w:pPr>
    </w:p>
    <w:p>
      <w:pPr>
        <w:ind w:left="1300" w:right="420" w:hanging="320"/>
        <w:spacing w:after="0" w:line="305" w:lineRule="auto"/>
        <w:tabs>
          <w:tab w:leader="none" w:pos="1248" w:val="left"/>
        </w:tabs>
        <w:numPr>
          <w:ilvl w:val="1"/>
          <w:numId w:val="2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4"/>
          <w:szCs w:val="14"/>
          <w:color w:val="auto"/>
        </w:rPr>
      </w:pPr>
    </w:p>
    <w:p>
      <w:pPr>
        <w:ind w:left="1300" w:hanging="320"/>
        <w:spacing w:after="0" w:line="305" w:lineRule="auto"/>
        <w:tabs>
          <w:tab w:leader="none" w:pos="1248" w:val="left"/>
        </w:tabs>
        <w:numPr>
          <w:ilvl w:val="1"/>
          <w:numId w:val="2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October 30, 2026</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Mark K. Hardwick</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Mark K. Hardwick</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Chief Executive Officer</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180"/>
          </w:cols>
          <w:pgMar w:left="320" w:top="111" w:right="399" w:bottom="1440" w:gutter="0" w:footer="0" w:header="0"/>
        </w:sectPr>
      </w:pPr>
    </w:p>
    <w:bookmarkStart w:id="69" w:name="page70"/>
    <w:bookmarkEnd w:id="69"/>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PART II: OTHER INFORMATION</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i w:val="1"/>
          <w:i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EXHIBIT-31.2</w:t>
      </w:r>
    </w:p>
    <w:p>
      <w:pPr>
        <w:spacing w:after="0" w:line="258"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CERTIFICATIONS PURSUANT TO</w:t>
      </w:r>
    </w:p>
    <w:p>
      <w:pPr>
        <w:spacing w:after="0" w:line="29"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SECTION 302 OF</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CERTIFICATION</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I, Michele M. Kawiecki, Executive Vice President and Chief Financial Officer of First Merchants Corporation, certify that:</w:t>
      </w:r>
    </w:p>
    <w:p>
      <w:pPr>
        <w:spacing w:after="0" w:line="258"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First Merchants Corporation;</w:t>
      </w:r>
    </w:p>
    <w:p>
      <w:pPr>
        <w:spacing w:after="0" w:line="257" w:lineRule="exact"/>
        <w:rPr>
          <w:rFonts w:ascii="Arial" w:cs="Arial" w:eastAsia="Arial" w:hAnsi="Arial"/>
          <w:sz w:val="14"/>
          <w:szCs w:val="14"/>
          <w:color w:val="auto"/>
        </w:rPr>
      </w:pPr>
    </w:p>
    <w:p>
      <w:pPr>
        <w:ind w:left="660" w:right="80" w:hanging="328"/>
        <w:spacing w:after="0" w:line="285" w:lineRule="auto"/>
        <w:tabs>
          <w:tab w:leader="none" w:pos="6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4"/>
          <w:szCs w:val="14"/>
          <w:color w:val="auto"/>
        </w:rPr>
      </w:pPr>
    </w:p>
    <w:p>
      <w:pPr>
        <w:ind w:left="660" w:right="160" w:hanging="328"/>
        <w:spacing w:after="0" w:line="305" w:lineRule="auto"/>
        <w:tabs>
          <w:tab w:leader="none" w:pos="6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4"/>
          <w:szCs w:val="14"/>
          <w:color w:val="auto"/>
        </w:rPr>
      </w:pPr>
    </w:p>
    <w:p>
      <w:pPr>
        <w:ind w:left="600" w:hanging="268"/>
        <w:spacing w:after="0"/>
        <w:tabs>
          <w:tab w:leader="none" w:pos="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8"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30" w:lineRule="exact"/>
        <w:rPr>
          <w:rFonts w:ascii="Arial" w:cs="Arial" w:eastAsia="Arial" w:hAnsi="Arial"/>
          <w:sz w:val="14"/>
          <w:szCs w:val="14"/>
          <w:color w:val="auto"/>
        </w:rPr>
      </w:pPr>
    </w:p>
    <w:p>
      <w:pPr>
        <w:jc w:val="both"/>
        <w:ind w:left="1300" w:hanging="320"/>
        <w:spacing w:after="0" w:line="283" w:lineRule="auto"/>
        <w:tabs>
          <w:tab w:leader="none" w:pos="1256" w:val="left"/>
        </w:tabs>
        <w:numPr>
          <w:ilvl w:val="1"/>
          <w:numId w:val="2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Arial" w:cs="Arial" w:eastAsia="Arial" w:hAnsi="Arial"/>
          <w:sz w:val="14"/>
          <w:szCs w:val="14"/>
          <w:color w:val="auto"/>
        </w:rPr>
      </w:pPr>
    </w:p>
    <w:p>
      <w:pPr>
        <w:ind w:left="1300" w:right="40" w:hanging="320"/>
        <w:spacing w:after="0" w:line="273" w:lineRule="auto"/>
        <w:tabs>
          <w:tab w:leader="none" w:pos="1256" w:val="left"/>
        </w:tabs>
        <w:numPr>
          <w:ilvl w:val="1"/>
          <w:numId w:val="2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4"/>
          <w:szCs w:val="14"/>
          <w:color w:val="auto"/>
        </w:rPr>
      </w:pPr>
    </w:p>
    <w:p>
      <w:pPr>
        <w:ind w:left="1300" w:right="20" w:hanging="320"/>
        <w:spacing w:after="0" w:line="305" w:lineRule="auto"/>
        <w:tabs>
          <w:tab w:leader="none" w:pos="1248" w:val="left"/>
        </w:tabs>
        <w:numPr>
          <w:ilvl w:val="1"/>
          <w:numId w:val="2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4"/>
          <w:szCs w:val="14"/>
          <w:color w:val="auto"/>
        </w:rPr>
      </w:pPr>
    </w:p>
    <w:p>
      <w:pPr>
        <w:jc w:val="both"/>
        <w:ind w:left="1300" w:right="120" w:hanging="320"/>
        <w:spacing w:after="0" w:line="273" w:lineRule="auto"/>
        <w:tabs>
          <w:tab w:leader="none" w:pos="1256" w:val="left"/>
        </w:tabs>
        <w:numPr>
          <w:ilvl w:val="1"/>
          <w:numId w:val="2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4"/>
          <w:szCs w:val="14"/>
          <w:color w:val="auto"/>
        </w:rPr>
      </w:pPr>
    </w:p>
    <w:p>
      <w:pPr>
        <w:ind w:left="660" w:right="40" w:hanging="328"/>
        <w:spacing w:after="0" w:line="305" w:lineRule="auto"/>
        <w:tabs>
          <w:tab w:leader="none" w:pos="613"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4"/>
          <w:szCs w:val="14"/>
          <w:color w:val="auto"/>
        </w:rPr>
      </w:pPr>
    </w:p>
    <w:p>
      <w:pPr>
        <w:ind w:left="1300" w:right="420" w:hanging="320"/>
        <w:spacing w:after="0" w:line="305" w:lineRule="auto"/>
        <w:tabs>
          <w:tab w:leader="none" w:pos="1248" w:val="left"/>
        </w:tabs>
        <w:numPr>
          <w:ilvl w:val="1"/>
          <w:numId w:val="2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4"/>
          <w:szCs w:val="14"/>
          <w:color w:val="auto"/>
        </w:rPr>
      </w:pPr>
    </w:p>
    <w:p>
      <w:pPr>
        <w:ind w:left="1300" w:hanging="320"/>
        <w:spacing w:after="0" w:line="305" w:lineRule="auto"/>
        <w:tabs>
          <w:tab w:leader="none" w:pos="1248" w:val="left"/>
        </w:tabs>
        <w:numPr>
          <w:ilvl w:val="1"/>
          <w:numId w:val="2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October 30, 2026</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Michele M. Kawiecki</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Michele M. Kawiecki</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Executive Vice President,</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Chief Financial Officer</w:t>
      </w:r>
    </w:p>
    <w:p>
      <w:pPr>
        <w:spacing w:after="0" w:line="30"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(Principal Financial and Accounting</w:t>
      </w:r>
    </w:p>
    <w:p>
      <w:pPr>
        <w:ind w:left="4560"/>
        <w:spacing w:after="0"/>
        <w:rPr>
          <w:sz w:val="20"/>
          <w:szCs w:val="20"/>
          <w:color w:val="auto"/>
        </w:rPr>
      </w:pPr>
      <w:r>
        <w:rPr>
          <w:rFonts w:ascii="Arial" w:cs="Arial" w:eastAsia="Arial" w:hAnsi="Arial"/>
          <w:sz w:val="14"/>
          <w:szCs w:val="14"/>
          <w:color w:val="auto"/>
        </w:rPr>
        <w:t>Officer)</w:t>
      </w:r>
    </w:p>
    <w:p>
      <w:pPr>
        <w:sectPr>
          <w:pgSz w:w="11900" w:h="16838" w:orient="portrait"/>
          <w:cols w:equalWidth="0" w:num="1">
            <w:col w:w="11180"/>
          </w:cols>
          <w:pgMar w:left="320" w:top="111" w:right="399" w:bottom="1440" w:gutter="0" w:footer="0" w:header="0"/>
        </w:sectPr>
      </w:pPr>
    </w:p>
    <w:bookmarkStart w:id="70" w:name="page71"/>
    <w:bookmarkEnd w:id="70"/>
    <w:p>
      <w:pPr>
        <w:jc w:val="center"/>
        <w:ind w:right="-99"/>
        <w:spacing w:after="0"/>
        <w:rPr>
          <w:sz w:val="20"/>
          <w:szCs w:val="20"/>
          <w:color w:val="auto"/>
        </w:rPr>
      </w:pPr>
      <w:r>
        <w:rPr>
          <w:rFonts w:ascii="Times New Roman" w:cs="Times New Roman" w:eastAsia="Times New Roman" w:hAnsi="Times New Roman"/>
          <w:sz w:val="25"/>
          <w:szCs w:val="25"/>
          <w:b w:val="1"/>
          <w:bCs w:val="1"/>
          <w:i w:val="1"/>
          <w:iCs w:val="1"/>
          <w:color w:val="auto"/>
        </w:rPr>
        <w:t>PART II: OTHER INFORMATION</w:t>
      </w:r>
    </w:p>
    <w:p>
      <w:pPr>
        <w:spacing w:after="0" w:line="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i w:val="1"/>
          <w:i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EXHIBIT-32</w:t>
      </w:r>
    </w:p>
    <w:p>
      <w:pPr>
        <w:spacing w:after="0" w:line="258"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CERTIFICATIONS PURSUANT TO</w:t>
      </w:r>
    </w:p>
    <w:p>
      <w:pPr>
        <w:spacing w:after="0" w:line="29"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18 U.S.C. SECTION 1350,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AS ADOPTED PURSUANT TO</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1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 connection with the Quarterly Report of First Merchants Corporation (the “Corporation”) on Form 10-Q for the period ending September 30, 2026, as filed with the Securities and Exchange Commission on the date hereof (the “Report”), I, Mark K. Hardwick, Chief Executive Officer of the Corporation, do hereby certify, in accordance with 18 U.S.C. Section 1350, as adopted pursuant to Section 906 of the Sarbanes-Oxley Act of 2002, that:</w:t>
      </w:r>
    </w:p>
    <w:p>
      <w:pPr>
        <w:spacing w:after="0" w:line="186"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(15 U.S.C. 78m or 78o (d)); and</w:t>
      </w:r>
    </w:p>
    <w:p>
      <w:pPr>
        <w:spacing w:after="0" w:line="257" w:lineRule="exact"/>
        <w:rPr>
          <w:rFonts w:ascii="Arial" w:cs="Arial" w:eastAsia="Arial" w:hAnsi="Arial"/>
          <w:sz w:val="14"/>
          <w:szCs w:val="14"/>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Corporation.</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October 30, 2026</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Mark K. Hardwick</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Mark K. Hardwick</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Chief Executive Officer</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(Principal Executive Officer)</w:t>
      </w:r>
    </w:p>
    <w:p>
      <w:pPr>
        <w:spacing w:after="0" w:line="352" w:lineRule="exact"/>
        <w:rPr>
          <w:sz w:val="20"/>
          <w:szCs w:val="20"/>
          <w:color w:val="auto"/>
        </w:rPr>
      </w:pPr>
    </w:p>
    <w:p>
      <w:pPr>
        <w:ind w:right="320"/>
        <w:spacing w:after="0" w:line="305" w:lineRule="auto"/>
        <w:rPr>
          <w:sz w:val="20"/>
          <w:szCs w:val="20"/>
          <w:color w:val="auto"/>
        </w:rPr>
      </w:pPr>
      <w:r>
        <w:rPr>
          <w:rFonts w:ascii="Arial" w:cs="Arial" w:eastAsia="Arial" w:hAnsi="Arial"/>
          <w:sz w:val="14"/>
          <w:szCs w:val="14"/>
          <w:color w:val="auto"/>
        </w:rPr>
        <w:t>A signed copy of this written statement required by Section 906 has been provided to First Merchants Corporation and will be retained by First Merchants Corporation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 connection with the Quarterly Report of First Merchants Corporation (the “Corporation”) on Form 10-Q for the period ending September 30, 2026, as filed with the Securities and Exchange Commission on the date hereof (the “Report”), I, Michele M. Kawiecki, Executive Vice President and Chief Financial Officer of the Corporation, do hereby certify, in accordance with 18 U.S.C. Section 1350, as adopted pursuant to Section 906 of the Sarbanes-Oxley Act of 2002, that:</w:t>
      </w:r>
    </w:p>
    <w:p>
      <w:pPr>
        <w:spacing w:after="0" w:line="207"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(15 U.S.C. 78m or 78o (d)); and</w:t>
      </w:r>
    </w:p>
    <w:p>
      <w:pPr>
        <w:spacing w:after="0" w:line="257"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Corporation.</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October 30, 2026</w:t>
      </w:r>
    </w:p>
    <w:p>
      <w:pPr>
        <w:spacing w:after="0" w:line="5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Michele M. Kawiecki</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Michele M. Kawiecki</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Executive Vice President,</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Chief Financial Officer</w:t>
      </w:r>
    </w:p>
    <w:p>
      <w:pPr>
        <w:spacing w:after="0" w:line="30"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(Principal Financial and Accounting</w:t>
      </w:r>
    </w:p>
    <w:p>
      <w:pPr>
        <w:ind w:left="4560"/>
        <w:spacing w:after="0"/>
        <w:rPr>
          <w:sz w:val="20"/>
          <w:szCs w:val="20"/>
          <w:color w:val="auto"/>
        </w:rPr>
      </w:pPr>
      <w:r>
        <w:rPr>
          <w:rFonts w:ascii="Arial" w:cs="Arial" w:eastAsia="Arial" w:hAnsi="Arial"/>
          <w:sz w:val="14"/>
          <w:szCs w:val="14"/>
          <w:color w:val="auto"/>
        </w:rPr>
        <w:t>Officer)</w:t>
      </w:r>
    </w:p>
    <w:p>
      <w:pPr>
        <w:spacing w:after="0" w:line="338" w:lineRule="exact"/>
        <w:rPr>
          <w:sz w:val="20"/>
          <w:szCs w:val="20"/>
          <w:color w:val="auto"/>
        </w:rPr>
      </w:pPr>
    </w:p>
    <w:p>
      <w:pPr>
        <w:ind w:right="320"/>
        <w:spacing w:after="0" w:line="305" w:lineRule="auto"/>
        <w:rPr>
          <w:sz w:val="20"/>
          <w:szCs w:val="20"/>
          <w:color w:val="auto"/>
        </w:rPr>
      </w:pPr>
      <w:r>
        <w:rPr>
          <w:rFonts w:ascii="Arial" w:cs="Arial" w:eastAsia="Arial" w:hAnsi="Arial"/>
          <w:sz w:val="14"/>
          <w:szCs w:val="14"/>
          <w:color w:val="auto"/>
        </w:rPr>
        <w:t>A signed copy of this written statement required by Section 906 has been provided to First Merchants Corporation and will be retained by First Merchants Corporation and furnished to the Securities and Exchange Commission or its staff upon request.</w:t>
      </w:r>
    </w:p>
    <w:sectPr>
      <w:pgSz w:w="11900" w:h="16838" w:orient="portrait"/>
      <w:cols w:equalWidth="0" w:num="1">
        <w:col w:w="11140"/>
      </w:cols>
      <w:pgMar w:left="32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32"/>
    </w:lvl>
  </w:abstractNum>
  <w:abstractNum w:abstractNumId="19">
    <w:nsid w:val="2443A858"/>
    <w:multiLevelType w:val="hybridMultilevel"/>
    <w:lvl w:ilvl="0">
      <w:lvlJc w:val="left"/>
      <w:lvlText w:val="%1"/>
      <w:numFmt w:val="decimal"/>
      <w:start w:val="104"/>
    </w:lvl>
    <w:lvl w:ilvl="1">
      <w:lvlJc w:val="left"/>
      <w:lvlText w:val="(%2)"/>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85" Type="http://schemas.openxmlformats.org/officeDocument/2006/relationships/hyperlink" Target="https://www.sec.gov/Archives/edgar/data/712534/000119312525216440/d83219dex21.htm" TargetMode="External"/><Relationship Id="rId86" Type="http://schemas.openxmlformats.org/officeDocument/2006/relationships/hyperlink" Target="https://www.sec.gov/Archives/edgar/data/712534/000071253424000181/exhibit31.htm" TargetMode="External"/><Relationship Id="rId87" Type="http://schemas.openxmlformats.org/officeDocument/2006/relationships/hyperlink" Target="https://www.sec.gov/Archives/edgar/data/712534/000071253424000181/exhibit32.htm" TargetMode="External"/><Relationship Id="rId88" Type="http://schemas.openxmlformats.org/officeDocument/2006/relationships/hyperlink" Target="https://www.sec.gov/Archives/edgar/data/712534/000071253407000122/f8ktrustpreferred0707.txt" TargetMode="External"/><Relationship Id="rId89" Type="http://schemas.openxmlformats.org/officeDocument/2006/relationships/hyperlink" Target="https://www.sec.gov/Archives/edgar/data/712534/000119312520194457/d847724d424b3.htm" TargetMode="External"/><Relationship Id="rId90" Type="http://schemas.openxmlformats.org/officeDocument/2006/relationships/hyperlink" Target="https://www.sec.gov/Archives/edgar/data/712534/000119312522089951/d310530dex41.htm" TargetMode="External"/><Relationship Id="rId91" Type="http://schemas.openxmlformats.org/officeDocument/2006/relationships/hyperlink" Target="https://www.sec.gov/Archives/edgar/data/0000712534/000119312522089951/d310530dex41.htm" TargetMode="External"/><Relationship Id="rId92" Type="http://schemas.openxmlformats.org/officeDocument/2006/relationships/hyperlink" Target="https://www.sec.gov/Archives/edgar/data/1412707/000141270719000074/exhibit41indenture.htm" TargetMode="External"/><Relationship Id="rId93" Type="http://schemas.openxmlformats.org/officeDocument/2006/relationships/hyperlink" Target="https://www.sec.gov/Archives/edgar/data/712534/000071253423000067/exhibit411-202210k.htm" TargetMode="External"/><Relationship Id="rId94" Type="http://schemas.openxmlformats.org/officeDocument/2006/relationships/hyperlink" Target="https://www.sec.gov/Archives/edgar/data/712534/000119312526402604/d154643dex41.htm" TargetMode="External"/><Relationship Id="rId95" Type="http://schemas.openxmlformats.org/officeDocument/2006/relationships/hyperlink" Target="https://www.sec.gov/Archives/edgar/data/712534/000119312526402604/d15464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2026-10-30T14:48:24Z</dcterms:created>
  <dcterms:modified xsi:type="dcterms:W3CDTF">2026-10-30T14:48:24Z</dcterms:modified>
</cp:coreProperties>
</file>