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092469.xml.htm"/>
      <w:bookmarkStart w:id="1" w:name="kswkform4_179009246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HARDWICK MARK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E JACKSON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MUNCIE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47305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FIRST MERCHANTS CORP</w:t>
              </w:r>
            </w:hyperlink>
            <w:r>
              <w:rPr/>
              <w:t xml:space="preserve"> [ </w:t>
            </w:r>
            <w:r>
              <w:rPr>
                <w:rFonts w:ascii="Times;serif" w:hAnsi="Times;serif"/>
                <w:color w:val="0000FF"/>
                <w:sz w:val="24"/>
                <w:shd w:fill="FFFFFF" w:val="clear"/>
              </w:rPr>
              <w:t>FRME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1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711"/>
        <w:gridCol w:w="276"/>
        <w:gridCol w:w="906"/>
        <w:gridCol w:w="801"/>
        <w:gridCol w:w="891"/>
        <w:gridCol w:w="801"/>
        <w:gridCol w:w="801"/>
        <w:gridCol w:w="96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30.386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30.386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40.5</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3,385.081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phantom stock is the economic equivalent of one share of FRME common stock. The shares of phantom stock will be settled in cash or shares of FRME common stock, at the reporting person's election, upon separation from First Merchants.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Paul Cento (Confirming Statement on File)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70817" TargetMode="External"/><Relationship Id="rId5" Type="http://schemas.openxmlformats.org/officeDocument/2006/relationships/hyperlink" Target="http://www.sec.gov/cgi-bin/browse-edgar?action=getcompany&amp;CIK=00007125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3315</Characters>
  <CharactersWithSpaces>3857</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