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436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43611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FLUHLER STEPHAN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E JACKSON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FIRST MERCHANTS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FRME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19" w:lineRule="exact"/>
        <w:rPr>
          <w:sz w:val="24"/>
          <w:szCs w:val="24"/>
          <w:color w:val="auto"/>
        </w:rPr>
      </w:pPr>
    </w:p>
    <w:p>
      <w:pPr>
        <w:jc w:val="center"/>
        <w:ind w:right="183"/>
        <w:spacing w:after="0"/>
        <w:rPr>
          <w:sz w:val="20"/>
          <w:szCs w:val="20"/>
          <w:color w:val="auto"/>
        </w:rPr>
      </w:pPr>
      <w:r>
        <w:rPr>
          <w:rFonts w:ascii="Times New Roman" w:cs="Times New Roman" w:eastAsia="Times New Roman" w:hAnsi="Times New Roman"/>
          <w:sz w:val="16"/>
          <w:szCs w:val="16"/>
          <w:color w:val="0000FF"/>
        </w:rPr>
        <w:t xml:space="preserve">Chief Information Officer </w:t>
      </w:r>
      <w:r>
        <w:rPr>
          <w:rFonts w:ascii="Times New Roman" w:cs="Times New Roman" w:eastAsia="Times New Roman" w:hAnsi="Times New Roman"/>
          <w:sz w:val="19"/>
          <w:szCs w:val="19"/>
          <w:color w:val="000000"/>
        </w:rPr>
        <w:t>/</w:t>
      </w:r>
      <w:r>
        <w:rPr>
          <w:rFonts w:ascii="Times New Roman" w:cs="Times New Roman" w:eastAsia="Times New Roman" w:hAnsi="Times New Roman"/>
          <w:sz w:val="16"/>
          <w:szCs w:val="16"/>
          <w:color w:val="0000FF"/>
        </w:rPr>
        <w:t xml:space="preserve"> Senior Vice</w:t>
      </w:r>
    </w:p>
    <w:p>
      <w:pPr>
        <w:spacing w:after="0" w:line="45" w:lineRule="exact"/>
        <w:rPr>
          <w:sz w:val="24"/>
          <w:szCs w:val="24"/>
          <w:color w:val="auto"/>
        </w:rPr>
      </w:pPr>
    </w:p>
    <w:p>
      <w:pPr>
        <w:jc w:val="center"/>
        <w:ind w:right="183"/>
        <w:spacing w:after="0"/>
        <w:rPr>
          <w:sz w:val="20"/>
          <w:szCs w:val="20"/>
          <w:color w:val="auto"/>
        </w:rPr>
      </w:pPr>
      <w:r>
        <w:rPr>
          <w:rFonts w:ascii="Times New Roman" w:cs="Times New Roman" w:eastAsia="Times New Roman" w:hAnsi="Times New Roman"/>
          <w:sz w:val="17"/>
          <w:szCs w:val="17"/>
          <w:color w:val="0000FF"/>
        </w:rPr>
        <w:t>President</w:t>
      </w:r>
    </w:p>
    <w:p>
      <w:pPr>
        <w:spacing w:after="0" w:line="174" w:lineRule="exact"/>
        <w:rPr>
          <w:sz w:val="24"/>
          <w:szCs w:val="24"/>
          <w:color w:val="auto"/>
        </w:rPr>
      </w:pPr>
    </w:p>
    <w:p>
      <w:pPr>
        <w:sectPr>
          <w:pgSz w:w="11900" w:h="16838" w:orient="portrait"/>
          <w:cols w:equalWidth="0" w:num="3">
            <w:col w:w="3180" w:space="720"/>
            <w:col w:w="3240" w:space="58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00" w:type="dxa"/>
            <w:vAlign w:val="bottom"/>
            <w:gridSpan w:val="8"/>
          </w:tcPr>
          <w:p>
            <w:pPr>
              <w:jc w:val="center"/>
              <w:ind w:right="4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MUNCIE</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w:t>
            </w:r>
          </w:p>
        </w:tc>
        <w:tc>
          <w:tcPr>
            <w:tcW w:w="980" w:type="dxa"/>
            <w:vAlign w:val="bottom"/>
          </w:tcPr>
          <w:p>
            <w:pPr>
              <w:spacing w:after="0"/>
              <w:rPr>
                <w:sz w:val="14"/>
                <w:szCs w:val="14"/>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47305</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6"/>
                <w:szCs w:val="16"/>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20"/>
                <w:szCs w:val="20"/>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06/23/2026</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95.525</w:t>
            </w:r>
          </w:p>
        </w:tc>
        <w:tc>
          <w:tcPr>
            <w:tcW w:w="34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95.525</w:t>
            </w:r>
          </w:p>
        </w:tc>
        <w:tc>
          <w:tcPr>
            <w:tcW w:w="60" w:type="dxa"/>
            <w:vAlign w:val="bottom"/>
          </w:tcPr>
          <w:p>
            <w:pPr>
              <w:spacing w:after="0"/>
              <w:rPr>
                <w:sz w:val="20"/>
                <w:szCs w:val="20"/>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40.9</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1,652.904</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phantom stock is the economic equivalent of one share of FRME common stock. The shares of phantom stock will be settled in cash or shares of FRME common stock, at the reporting person's election, upon separation from First Merchants.</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Paul Cento (Confirming</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06/23/2026</w:t>
            </w:r>
          </w:p>
        </w:tc>
        <w:tc>
          <w:tcPr>
            <w:tcW w:w="0" w:type="dxa"/>
            <w:vAlign w:val="bottom"/>
          </w:tcPr>
          <w:p>
            <w:pPr>
              <w:spacing w:after="0"/>
              <w:rPr>
                <w:sz w:val="1"/>
                <w:szCs w:val="1"/>
                <w:color w:val="auto"/>
              </w:rPr>
            </w:pPr>
          </w:p>
        </w:tc>
      </w:tr>
      <w:tr>
        <w:trPr>
          <w:trHeight w:val="88"/>
        </w:trPr>
        <w:tc>
          <w:tcPr>
            <w:tcW w:w="162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Statement on File)</w:t>
            </w: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2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8347" TargetMode="External"/><Relationship Id="rId14" Type="http://schemas.openxmlformats.org/officeDocument/2006/relationships/hyperlink" Target="http://www.sec.gov/cgi-bin/browse-edgar?action=getcompany&amp;CIK=00007125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2026-06-23T16:07:34Z</dcterms:created>
  <dcterms:modified xsi:type="dcterms:W3CDTF">2026-06-23T16:07:34Z</dcterms:modified>
</cp:coreProperties>
</file>