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72997.xml.htm"/>
      <w:bookmarkStart w:id="1" w:name="kswkform4_179097299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Sondhi Jason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 E JACKSON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MUNCIE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47305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FIRST MERCHANTS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FRME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04"/>
        <w:gridCol w:w="900"/>
        <w:gridCol w:w="771"/>
        <w:gridCol w:w="598"/>
        <w:gridCol w:w="345"/>
        <w:gridCol w:w="792"/>
        <w:gridCol w:w="447"/>
        <w:gridCol w:w="749"/>
        <w:gridCol w:w="1397"/>
        <w:gridCol w:w="987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0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0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0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589</w:t>
            </w:r>
          </w:p>
        </w:tc>
        <w:tc>
          <w:tcPr>
            <w:tcW w:w="4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39.78</w:t>
            </w:r>
          </w:p>
        </w:tc>
        <w:tc>
          <w:tcPr>
            <w:tcW w:w="13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10,711.785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9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Restricted Stock Awards totaling 7,390 shares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no longer has beneficial ownership of former spouse shares.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Paul Cento (Confirming Statement on File)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7256" TargetMode="External"/><Relationship Id="rId5" Type="http://schemas.openxmlformats.org/officeDocument/2006/relationships/hyperlink" Target="http://www.sec.gov/cgi-bin/browse-edgar?action=getcompany&amp;CIK=00007125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3180</Characters>
  <CharactersWithSpaces>3695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