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CURRENT REPORT</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PURSUANT TO SECTION 13 OR 15(d)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SECURITIES EXCHANGE ACT OF 1934</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July 15, 2025</w:t>
      </w:r>
    </w:p>
    <w:p>
      <w:pPr>
        <w:spacing w:after="0" w:line="37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FIRST MERCHANTS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26035</wp:posOffset>
            </wp:positionV>
            <wp:extent cx="5634990"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4990" cy="34036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Indiana</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w:t>
      </w:r>
    </w:p>
    <w:p>
      <w:pPr>
        <w:spacing w:after="0" w:line="49" w:lineRule="exact"/>
        <w:rPr>
          <w:sz w:val="24"/>
          <w:szCs w:val="24"/>
          <w:color w:val="auto"/>
        </w:rPr>
      </w:pPr>
    </w:p>
    <w:tbl>
      <w:tblPr>
        <w:tblLayout w:type="fixed"/>
        <w:tblInd w:w="1210" w:type="dxa"/>
        <w:tblCellMar>
          <w:top w:w="0" w:type="dxa"/>
          <w:left w:w="0" w:type="dxa"/>
          <w:bottom w:w="0" w:type="dxa"/>
          <w:right w:w="0" w:type="dxa"/>
        </w:tblCellMar>
      </w:tblPr>
      <w:tr>
        <w:trPr>
          <w:trHeight w:val="261"/>
        </w:trPr>
        <w:tc>
          <w:tcPr>
            <w:tcW w:w="4440" w:type="dxa"/>
            <w:vAlign w:val="bottom"/>
            <w:tcBorders>
              <w:top w:val="single" w:sz="8" w:color="auto"/>
              <w:left w:val="single" w:sz="8" w:color="00000A"/>
              <w:bottom w:val="single" w:sz="8" w:color="00000A"/>
              <w:right w:val="single" w:sz="8" w:color="00000A"/>
            </w:tcBorders>
          </w:tcPr>
          <w:p>
            <w:pPr>
              <w:jc w:val="right"/>
              <w:ind w:right="1669"/>
              <w:spacing w:after="0"/>
              <w:rPr>
                <w:sz w:val="20"/>
                <w:szCs w:val="20"/>
                <w:color w:val="auto"/>
              </w:rPr>
            </w:pPr>
            <w:r>
              <w:rPr>
                <w:rFonts w:ascii="Arial" w:cs="Arial" w:eastAsia="Arial" w:hAnsi="Arial"/>
                <w:sz w:val="19"/>
                <w:szCs w:val="19"/>
                <w:color w:val="auto"/>
              </w:rPr>
              <w:t>001-41342</w:t>
            </w:r>
          </w:p>
        </w:tc>
        <w:tc>
          <w:tcPr>
            <w:tcW w:w="4440" w:type="dxa"/>
            <w:vAlign w:val="bottom"/>
            <w:tcBorders>
              <w:top w:val="single" w:sz="8" w:color="auto"/>
              <w:bottom w:val="single" w:sz="8" w:color="00000A"/>
              <w:right w:val="single" w:sz="8" w:color="00000A"/>
            </w:tcBorders>
          </w:tcPr>
          <w:p>
            <w:pPr>
              <w:jc w:val="right"/>
              <w:ind w:right="1629"/>
              <w:spacing w:after="0"/>
              <w:rPr>
                <w:sz w:val="20"/>
                <w:szCs w:val="20"/>
                <w:color w:val="auto"/>
              </w:rPr>
            </w:pPr>
            <w:r>
              <w:rPr>
                <w:rFonts w:ascii="Arial" w:cs="Arial" w:eastAsia="Arial" w:hAnsi="Arial"/>
                <w:sz w:val="19"/>
                <w:szCs w:val="19"/>
                <w:color w:val="auto"/>
              </w:rPr>
              <w:t>35-1544218</w:t>
            </w:r>
          </w:p>
        </w:tc>
      </w:tr>
      <w:tr>
        <w:trPr>
          <w:trHeight w:val="226"/>
        </w:trPr>
        <w:tc>
          <w:tcPr>
            <w:tcW w:w="44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(Commission File Number)</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(IRS Employer Identification No.)</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 East Jackson Street</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P.O. Box 792</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Muncie, IN 47305-2814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(765) 747-1500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Not Applicable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Name of each exchange on which registered</w:t>
            </w:r>
          </w:p>
        </w:tc>
      </w:tr>
      <w:tr>
        <w:trPr>
          <w:trHeight w:val="16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Common Stock, $0.125 stated value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r>
        <w:trPr>
          <w:trHeight w:val="115"/>
        </w:trPr>
        <w:tc>
          <w:tcPr>
            <w:tcW w:w="3760" w:type="dxa"/>
            <w:vAlign w:val="bottom"/>
            <w:tcBorders>
              <w:left w:val="single" w:sz="8" w:color="auto"/>
              <w:right w:val="single" w:sz="8" w:color="auto"/>
            </w:tcBorders>
          </w:tcPr>
          <w:p>
            <w:pPr>
              <w:jc w:val="center"/>
              <w:spacing w:after="0" w:line="115" w:lineRule="exact"/>
              <w:rPr>
                <w:sz w:val="20"/>
                <w:szCs w:val="20"/>
                <w:color w:val="auto"/>
              </w:rPr>
            </w:pPr>
            <w:r>
              <w:rPr>
                <w:rFonts w:ascii="Arial" w:cs="Arial" w:eastAsia="Arial" w:hAnsi="Arial"/>
                <w:sz w:val="12"/>
                <w:szCs w:val="12"/>
                <w:color w:val="auto"/>
              </w:rPr>
              <w:t>Depositary Shares, each representing a 1/100th interest in a share</w:t>
            </w:r>
          </w:p>
        </w:tc>
        <w:tc>
          <w:tcPr>
            <w:tcW w:w="376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7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of Non-Cumulative Perpetual Preferred Stock, Series A</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bl>
    <w:p>
      <w:pPr>
        <w:spacing w:after="0" w:line="297" w:lineRule="exact"/>
        <w:rPr>
          <w:sz w:val="24"/>
          <w:szCs w:val="24"/>
          <w:color w:val="auto"/>
        </w:rPr>
      </w:pPr>
    </w:p>
    <w:p>
      <w:pPr>
        <w:ind w:right="220"/>
        <w:spacing w:after="0" w:line="29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2"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sz w:val="24"/>
          <w:szCs w:val="24"/>
          <w:color w:val="auto"/>
        </w:rPr>
      </w:pPr>
    </w:p>
    <w:p>
      <w:pPr>
        <w:ind w:right="180"/>
        <w:spacing w:after="0" w:line="29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9" w:lineRule="exact"/>
        <w:rPr>
          <w:sz w:val="24"/>
          <w:szCs w:val="24"/>
          <w:color w:val="auto"/>
        </w:rPr>
      </w:pPr>
    </w:p>
    <w:p>
      <w:pPr>
        <w:ind w:right="220"/>
        <w:spacing w:after="0" w:line="23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509270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205" w:right="3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51" w:lineRule="exact"/>
        <w:rPr>
          <w:sz w:val="20"/>
          <w:szCs w:val="20"/>
          <w:color w:val="auto"/>
        </w:rPr>
      </w:pPr>
    </w:p>
    <w:p>
      <w:pPr>
        <w:jc w:val="both"/>
        <w:ind w:firstLine="274"/>
        <w:spacing w:after="0" w:line="270" w:lineRule="auto"/>
        <w:rPr>
          <w:sz w:val="20"/>
          <w:szCs w:val="20"/>
          <w:color w:val="auto"/>
        </w:rPr>
      </w:pPr>
      <w:r>
        <w:rPr>
          <w:rFonts w:ascii="Arial" w:cs="Arial" w:eastAsia="Arial" w:hAnsi="Arial"/>
          <w:sz w:val="17"/>
          <w:szCs w:val="17"/>
          <w:color w:val="auto"/>
        </w:rPr>
        <w:t>On July 15, 2025, First Merchants Corporation issued a press release announcing its Board of Directors has declared a quarterly cash dividend on its 7.50% Non-Cumulative Perpetual Preferred Stock Series A, of $46.88 per share (equivalent to $0.4688 per depositary share) payable on August 15, 2025, to stockholders of record on July 30, 2025. A copy of the press release is furnished as Exhibit 99.1 to this Current Report on Form 8-K.</w:t>
      </w:r>
    </w:p>
    <w:p>
      <w:pPr>
        <w:spacing w:after="0" w:line="192" w:lineRule="exact"/>
        <w:rPr>
          <w:sz w:val="20"/>
          <w:szCs w:val="20"/>
          <w:color w:val="auto"/>
        </w:rPr>
      </w:pPr>
    </w:p>
    <w:p>
      <w:pPr>
        <w:jc w:val="both"/>
        <w:ind w:firstLine="274"/>
        <w:spacing w:after="0" w:line="277" w:lineRule="auto"/>
        <w:rPr>
          <w:sz w:val="20"/>
          <w:szCs w:val="20"/>
          <w:color w:val="auto"/>
        </w:rPr>
      </w:pPr>
      <w:r>
        <w:rPr>
          <w:rFonts w:ascii="Arial" w:cs="Arial" w:eastAsia="Arial" w:hAnsi="Arial"/>
          <w:sz w:val="17"/>
          <w:szCs w:val="17"/>
          <w:color w:val="auto"/>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5" w:lineRule="exact"/>
        <w:rPr>
          <w:sz w:val="20"/>
          <w:szCs w:val="20"/>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8" w:lineRule="exact"/>
        <w:rPr>
          <w:rFonts w:ascii="Arial" w:cs="Arial" w:eastAsia="Arial" w:hAnsi="Arial"/>
          <w:sz w:val="17"/>
          <w:szCs w:val="17"/>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8" w:lineRule="exact"/>
        <w:rPr>
          <w:rFonts w:ascii="Arial" w:cs="Arial" w:eastAsia="Arial" w:hAnsi="Arial"/>
          <w:sz w:val="17"/>
          <w:szCs w:val="17"/>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48" w:lineRule="exact"/>
        <w:rPr>
          <w:rFonts w:ascii="Arial" w:cs="Arial" w:eastAsia="Arial" w:hAnsi="Arial"/>
          <w:sz w:val="17"/>
          <w:szCs w:val="17"/>
          <w:color w:val="auto"/>
        </w:rPr>
      </w:pPr>
    </w:p>
    <w:p>
      <w:pPr>
        <w:ind w:left="260" w:hanging="255"/>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Borders>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7"/>
                <w:szCs w:val="17"/>
                <w:color w:val="auto"/>
              </w:rPr>
              <w:t>Exhibit 99.1</w:t>
            </w:r>
          </w:p>
        </w:tc>
        <w:tc>
          <w:tcPr>
            <w:tcW w:w="20" w:type="dxa"/>
            <w:vAlign w:val="bottom"/>
            <w:tcBorders>
              <w:top w:val="single" w:sz="8" w:color="auto"/>
            </w:tcBorders>
          </w:tcPr>
          <w:p>
            <w:pPr>
              <w:spacing w:after="0"/>
              <w:rPr>
                <w:sz w:val="17"/>
                <w:szCs w:val="17"/>
                <w:color w:val="auto"/>
              </w:rPr>
            </w:pPr>
          </w:p>
        </w:tc>
        <w:tc>
          <w:tcPr>
            <w:tcW w:w="5680" w:type="dxa"/>
            <w:vAlign w:val="bottom"/>
            <w:tcBorders>
              <w:top w:val="single" w:sz="8" w:color="auto"/>
              <w:bottom w:val="single" w:sz="8" w:color="0000FF"/>
            </w:tcBorders>
          </w:tcPr>
          <w:p>
            <w:pPr>
              <w:spacing w:after="0" w:line="183" w:lineRule="exact"/>
              <w:rPr>
                <w:sz w:val="20"/>
                <w:szCs w:val="20"/>
                <w:color w:val="auto"/>
              </w:rPr>
            </w:pPr>
            <w:r>
              <w:rPr>
                <w:rFonts w:ascii="Arial" w:cs="Arial" w:eastAsia="Arial" w:hAnsi="Arial"/>
                <w:sz w:val="17"/>
                <w:szCs w:val="17"/>
                <w:color w:val="0000FF"/>
              </w:rPr>
              <w:t>Press Release dated July 15, 2025 issued by First Merchants Corporation</w:t>
            </w:r>
          </w:p>
        </w:tc>
        <w:tc>
          <w:tcPr>
            <w:tcW w:w="2680" w:type="dxa"/>
            <w:vAlign w:val="bottom"/>
            <w:tcBorders>
              <w:top w:val="single" w:sz="8" w:color="auto"/>
              <w:right w:val="single" w:sz="8" w:color="auto"/>
            </w:tcBorders>
          </w:tcPr>
          <w:p>
            <w:pPr>
              <w:jc w:val="right"/>
              <w:ind w:right="2533"/>
              <w:spacing w:after="0"/>
              <w:rPr>
                <w:sz w:val="20"/>
                <w:szCs w:val="20"/>
                <w:color w:val="auto"/>
              </w:rPr>
            </w:pPr>
            <w:r>
              <w:rPr>
                <w:rFonts w:ascii="Arial" w:cs="Arial" w:eastAsia="Arial" w:hAnsi="Arial"/>
                <w:sz w:val="17"/>
                <w:szCs w:val="17"/>
                <w:color w:val="auto"/>
                <w:w w:val="83"/>
              </w:rPr>
              <w:t>.</w:t>
            </w:r>
          </w:p>
        </w:tc>
        <w:tc>
          <w:tcPr>
            <w:tcW w:w="440" w:type="dxa"/>
            <w:vAlign w:val="bottom"/>
          </w:tcPr>
          <w:p>
            <w:pPr>
              <w:spacing w:after="0"/>
              <w:rPr>
                <w:sz w:val="17"/>
                <w:szCs w:val="17"/>
                <w:color w:val="auto"/>
              </w:rPr>
            </w:pPr>
          </w:p>
        </w:tc>
      </w:tr>
      <w:tr>
        <w:trPr>
          <w:trHeight w:val="45"/>
        </w:trPr>
        <w:tc>
          <w:tcPr>
            <w:tcW w:w="500" w:type="dxa"/>
            <w:vAlign w:val="bottom"/>
            <w:tcBorders>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15"/>
        </w:trPr>
        <w:tc>
          <w:tcPr>
            <w:tcW w:w="500" w:type="dxa"/>
            <w:vAlign w:val="bottom"/>
            <w:tcBorders>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7"/>
                <w:szCs w:val="17"/>
                <w:color w:val="auto"/>
              </w:rPr>
              <w:t>Exhibit 104</w:t>
            </w:r>
          </w:p>
        </w:tc>
        <w:tc>
          <w:tcPr>
            <w:tcW w:w="83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440" w:type="dxa"/>
            <w:vAlign w:val="bottom"/>
          </w:tcPr>
          <w:p>
            <w:pPr>
              <w:spacing w:after="0"/>
              <w:rPr>
                <w:sz w:val="18"/>
                <w:szCs w:val="18"/>
                <w:color w:val="auto"/>
              </w:rPr>
            </w:pPr>
          </w:p>
        </w:tc>
      </w:tr>
      <w:tr>
        <w:trPr>
          <w:trHeight w:val="1175"/>
        </w:trPr>
        <w:tc>
          <w:tcPr>
            <w:tcW w:w="5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First Merchants Corporation</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(Registrant)</w:t>
      </w:r>
    </w:p>
    <w:p>
      <w:pPr>
        <w:spacing w:after="0" w:line="281"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Michele M. Kawiecki</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Michele M. Kawiecki</w:t>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Executive Vice President, Chief Financial Officer</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Dated: July 15, 2025</w:t>
      </w:r>
    </w:p>
    <w:p>
      <w:pPr>
        <w:sectPr>
          <w:pgSz w:w="11900" w:h="16838" w:orient="portrait"/>
          <w:cols w:equalWidth="0" w:num="1">
            <w:col w:w="11220"/>
          </w:cols>
          <w:pgMar w:left="320" w:top="1101" w:right="359" w:bottom="1440" w:gutter="0" w:footer="0" w:header="0"/>
        </w:sectPr>
      </w:pPr>
    </w:p>
    <w:bookmarkStart w:id="3" w:name="page4"/>
    <w:bookmarkEnd w:id="3"/>
    <w:p>
      <w:pPr>
        <w:ind w:left="40"/>
        <w:spacing w:after="0"/>
        <w:rPr>
          <w:sz w:val="20"/>
          <w:szCs w:val="20"/>
          <w:color w:val="auto"/>
        </w:rPr>
      </w:pPr>
      <w:r>
        <w:rPr>
          <w:rFonts w:ascii="Arial" w:cs="Arial" w:eastAsia="Arial" w:hAnsi="Arial"/>
          <w:sz w:val="24"/>
          <w:szCs w:val="24"/>
          <w:b w:val="1"/>
          <w:bCs w:val="1"/>
          <w:color w:val="auto"/>
        </w:rPr>
        <w:t>N / E / W / S R / E / L / E / A / S / E</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July 15, 2025</w:t>
      </w: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IMMEDIATE RELEASE</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contact:</w:t>
      </w:r>
    </w:p>
    <w:p>
      <w:pPr>
        <w:spacing w:after="0" w:line="22" w:lineRule="exact"/>
        <w:rPr>
          <w:sz w:val="20"/>
          <w:szCs w:val="20"/>
          <w:color w:val="auto"/>
        </w:rPr>
      </w:pPr>
    </w:p>
    <w:p>
      <w:pPr>
        <w:ind w:right="4500"/>
        <w:spacing w:after="0" w:line="258" w:lineRule="auto"/>
        <w:rPr>
          <w:sz w:val="20"/>
          <w:szCs w:val="20"/>
          <w:color w:val="auto"/>
        </w:rPr>
      </w:pPr>
      <w:r>
        <w:rPr>
          <w:rFonts w:ascii="Arial" w:cs="Arial" w:eastAsia="Arial" w:hAnsi="Arial"/>
          <w:sz w:val="19"/>
          <w:szCs w:val="19"/>
          <w:color w:val="auto"/>
        </w:rPr>
        <w:t>Nicole M. Weaver, First Vice President and Director of Corporate Administration 765-521-7619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u w:val="single" w:color="auto"/>
          <w:color w:val="0000FF"/>
        </w:rPr>
        <w:t>http://www.firstmerchants.com</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9"/>
          <w:szCs w:val="19"/>
          <w:color w:val="auto"/>
        </w:rPr>
        <w:t>SOURCE: First Merchants Corporation (NASDAQ: FRME), Muncie, Indiana</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MERCHANTS CORPORATION ANNOUNCES CASH DIVIDEND ON ITS PREFERRED STOCK</w:t>
      </w: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First Merchants Corporation has declared a quarterly cash dividend of $46.88 per share on its 7.50% Non-Cumulative Perpetual Preferred Stock Series A, represented by depositary shares (NASDAQ: FRMEP) each representing a 1/100th interest in a share of the Series A preferred stock. Holders of depositary shares will receive $0.4688 per depositary share. The dividend will be payable on August 15, 2025, to stockholders of record on July 30,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First Merchants Corporation:</w:t>
      </w:r>
    </w:p>
    <w:p>
      <w:pPr>
        <w:spacing w:after="0" w:line="249"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First Merchants Corporation’s common stock is traded on the NASDAQ Global Select Market System under the symbol FRME. Depositary shares representing a 1/100th interest in a share of First Merchants Corporation’s 7.50% Non-Cumulative Perpetual Preferred Stock, Series A are traded on the NASDAQ Global Select Market System under the symbol FRMEP. Quotations are carried in daily newspapers and can be found on the company’s Internet web page (http://www.firstmerchants.com).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FIRST MERCHANTS and the Shield Logo are federally registered trademarks of First Merchants Corporation.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w:t>
      </w:r>
    </w:p>
    <w:sectPr>
      <w:pgSz w:w="11900" w:h="16838" w:orient="portrait"/>
      <w:cols w:equalWidth="0" w:num="1">
        <w:col w:w="11240"/>
      </w:cols>
      <w:pgMar w:left="320" w:top="8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2025-07-15T08:13:51Z</dcterms:created>
  <dcterms:modified xsi:type="dcterms:W3CDTF">2025-07-15T08:13:51Z</dcterms:modified>
</cp:coreProperties>
</file>