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0361.xml.htm"/>
      <w:bookmarkStart w:id="1" w:name="kswkform4_17858803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FLUHLER STEPHAN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E JACKSON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MUNCIE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MERCHANTS CORP</w:t>
              </w:r>
            </w:hyperlink>
            <w:r>
              <w:rPr/>
              <w:t xml:space="preserve"> [ </w:t>
            </w:r>
            <w:r>
              <w:rPr>
                <w:rFonts w:ascii="Times;serif" w:hAnsi="Times;serif"/>
                <w:color w:val="0000FF"/>
                <w:sz w:val="24"/>
                <w:shd w:fill="FFFFFF" w:val="clear"/>
              </w:rPr>
              <w:t>FRME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Information Officer</w:t>
                  </w:r>
                  <w:r>
                    <w:rPr/>
                    <w:t xml:space="preserve"> / </w:t>
                  </w: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748"/>
        <w:gridCol w:w="1396"/>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43.14</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20,773.717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25,773.717</w:t>
            </w:r>
            <w:r>
              <w:rPr>
                <w:rFonts w:ascii="Times;serif" w:hAnsi="Times;serif"/>
                <w:color w:val="008000"/>
                <w:position w:val="7"/>
                <w:sz w:val="16"/>
                <w:sz w:val="20"/>
                <w:shd w:fill="FFFFFF" w:val="clear"/>
              </w:rPr>
              <w:t>(1)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3,765.688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 Plan</w:t>
            </w:r>
          </w:p>
        </w:tc>
      </w:tr>
    </w:tbl>
    <w:tbl>
      <w:tblPr>
        <w:tblW w:w="1223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2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1,652.904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1,652.904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Stock Awards totaling 15,567.651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phantom stock is the economic equivalent of one share of FRME common stock. The shares of phantom stock will be settled in cash or shares of FRME common stock, at the reporting person's election, upon separation from First Merchants.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 Cento (Confirming Statement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347" TargetMode="External"/><Relationship Id="rId5" Type="http://schemas.openxmlformats.org/officeDocument/2006/relationships/hyperlink" Target="http://www.sec.gov/cgi-bin/browse-edgar?action=getcompany&amp;CIK=00007125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3498</Characters>
  <CharactersWithSpaces>4054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